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5D" w:rsidRDefault="00B2445D" w:rsidP="00B2445D">
      <w:pPr>
        <w:pStyle w:val="NormalWeb"/>
        <w:jc w:val="both"/>
        <w:rPr>
          <w:rFonts w:ascii="Times New Roman" w:hAnsi="Times New Roman"/>
          <w:b/>
        </w:rPr>
      </w:pPr>
      <w:r>
        <w:rPr>
          <w:rFonts w:ascii="Times New Roman" w:hAnsi="Times New Roman"/>
          <w:b/>
        </w:rPr>
        <w:t xml:space="preserve">TEXTO INTEGRAL DA INSTRUÇÃO CVM </w:t>
      </w:r>
      <w:proofErr w:type="gramStart"/>
      <w:r>
        <w:rPr>
          <w:rFonts w:ascii="Times New Roman" w:hAnsi="Times New Roman"/>
          <w:b/>
        </w:rPr>
        <w:t>N</w:t>
      </w:r>
      <w:r>
        <w:rPr>
          <w:rFonts w:ascii="Times New Roman" w:hAnsi="Times New Roman"/>
          <w:b/>
          <w:u w:val="single"/>
          <w:vertAlign w:val="superscript"/>
        </w:rPr>
        <w:t>o</w:t>
      </w:r>
      <w:r>
        <w:rPr>
          <w:rFonts w:ascii="Times New Roman" w:hAnsi="Times New Roman"/>
          <w:b/>
        </w:rPr>
        <w:t xml:space="preserve"> 409</w:t>
      </w:r>
      <w:proofErr w:type="gramEnd"/>
      <w:r>
        <w:rPr>
          <w:rFonts w:ascii="Times New Roman" w:hAnsi="Times New Roman"/>
          <w:b/>
        </w:rPr>
        <w:t xml:space="preserve">, DE 18 DE AGOSTO DE 2004, COM ALTERAÇÕES INTRODUZIDAS PELAS INSTRUÇÕES CVM </w:t>
      </w:r>
      <w:proofErr w:type="spellStart"/>
      <w:r>
        <w:rPr>
          <w:rFonts w:ascii="Times New Roman" w:hAnsi="Times New Roman"/>
          <w:b/>
        </w:rPr>
        <w:t>N</w:t>
      </w:r>
      <w:r>
        <w:rPr>
          <w:rFonts w:ascii="Times New Roman" w:hAnsi="Times New Roman"/>
          <w:b/>
          <w:u w:val="single"/>
          <w:vertAlign w:val="superscript"/>
        </w:rPr>
        <w:t>oS</w:t>
      </w:r>
      <w:proofErr w:type="spellEnd"/>
      <w:r>
        <w:rPr>
          <w:rFonts w:ascii="Times New Roman" w:hAnsi="Times New Roman"/>
          <w:b/>
        </w:rPr>
        <w:t xml:space="preserve"> 411/04, 413/04, 450/07, 456/07, 465/08, 512/11, 522/12, 524/12 E 536/13.</w:t>
      </w: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INSTRUÇÃO CVM N.º 409, DE 18 DE AGOSTO DE 2004.</w:t>
      </w:r>
    </w:p>
    <w:p w:rsidR="00B2445D" w:rsidRDefault="00B2445D" w:rsidP="00B2445D">
      <w:pPr>
        <w:pStyle w:val="NormalWeb"/>
        <w:ind w:left="5103"/>
        <w:jc w:val="both"/>
        <w:rPr>
          <w:rFonts w:ascii="Times New Roman" w:hAnsi="Times New Roman"/>
        </w:rPr>
      </w:pPr>
    </w:p>
    <w:p w:rsidR="00B2445D" w:rsidRDefault="00B2445D" w:rsidP="00B2445D">
      <w:pPr>
        <w:pStyle w:val="NormalWeb"/>
        <w:ind w:left="5103"/>
        <w:jc w:val="both"/>
        <w:rPr>
          <w:rFonts w:ascii="Times New Roman" w:hAnsi="Times New Roman"/>
        </w:rPr>
      </w:pPr>
      <w:r>
        <w:rPr>
          <w:rFonts w:ascii="Times New Roman" w:hAnsi="Times New Roman"/>
        </w:rPr>
        <w:t>Dispõe sobre a constituição, a administração, o funcionamento e a divulgação de informações dos fundos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O </w:t>
      </w:r>
      <w:r>
        <w:rPr>
          <w:rFonts w:ascii="Times New Roman" w:hAnsi="Times New Roman"/>
          <w:b/>
        </w:rPr>
        <w:t>PRESIDENTE DA COMISSÃO DE VALORES MOBILIÁRIOS - CVM</w:t>
      </w:r>
      <w:r>
        <w:rPr>
          <w:rFonts w:ascii="Times New Roman" w:hAnsi="Times New Roman"/>
        </w:rPr>
        <w:t xml:space="preserve"> torna público que o Colegiado, em reunião realizada nesta data, tendo em vista o disposto nos </w:t>
      </w:r>
      <w:proofErr w:type="spellStart"/>
      <w:r>
        <w:rPr>
          <w:rFonts w:ascii="Times New Roman" w:hAnsi="Times New Roman"/>
        </w:rPr>
        <w:t>arts</w:t>
      </w:r>
      <w:proofErr w:type="spellEnd"/>
      <w:r>
        <w:rPr>
          <w:rFonts w:ascii="Times New Roman" w:hAnsi="Times New Roman"/>
        </w:rPr>
        <w:t xml:space="preserve">. 2º e 19 da Lei n.º 6.385, de </w:t>
      </w:r>
      <w:proofErr w:type="gramStart"/>
      <w:r>
        <w:rPr>
          <w:rFonts w:ascii="Times New Roman" w:hAnsi="Times New Roman"/>
        </w:rPr>
        <w:t>7</w:t>
      </w:r>
      <w:proofErr w:type="gramEnd"/>
      <w:r>
        <w:rPr>
          <w:rFonts w:ascii="Times New Roman" w:hAnsi="Times New Roman"/>
        </w:rPr>
        <w:t xml:space="preserve"> de dezembro de 1976, resolveu baixar a seguinte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I</w:t>
      </w:r>
    </w:p>
    <w:p w:rsidR="00B2445D" w:rsidRDefault="00B2445D" w:rsidP="00B2445D">
      <w:pPr>
        <w:pStyle w:val="NormalWeb"/>
        <w:ind w:firstLine="567"/>
        <w:jc w:val="center"/>
        <w:rPr>
          <w:rFonts w:ascii="Times New Roman" w:hAnsi="Times New Roman"/>
        </w:rPr>
      </w:pPr>
      <w:r>
        <w:rPr>
          <w:rFonts w:ascii="Times New Roman" w:hAnsi="Times New Roman"/>
          <w:b/>
        </w:rPr>
        <w:t>DO ÂMBITO E DA FINALIDADE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1º</w:t>
      </w:r>
      <w:proofErr w:type="gramStart"/>
      <w:r>
        <w:rPr>
          <w:rFonts w:ascii="Times New Roman" w:hAnsi="Times New Roman"/>
        </w:rPr>
        <w:t xml:space="preserve">  </w:t>
      </w:r>
      <w:proofErr w:type="gramEnd"/>
      <w:r>
        <w:rPr>
          <w:rFonts w:ascii="Times New Roman" w:hAnsi="Times New Roman"/>
        </w:rPr>
        <w:t>A presente Instrução dispõe sobre normas gerais que regem a constituição, a administração, o funcionamento e a divulgação de informações dos fundos de investimento e fundos de investimento em cotas de fundo de investimento definidos e classificados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Excluem-se da disciplina desta Instrução os seguintes fundos, regidos por regulamentação própria: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Fundos de Investimento em Participações;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Fundos de Investimento em Cotas de Fundos de Investimento em Participações;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Fundos de Investimento em Direitos Creditórios;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Fundos de Investimento em Direitos Creditórios no Âmbito do Programa de Incentivo à </w:t>
      </w:r>
      <w:proofErr w:type="gramStart"/>
      <w:r>
        <w:rPr>
          <w:rFonts w:ascii="Times New Roman" w:hAnsi="Times New Roman"/>
        </w:rPr>
        <w:t>Implementação</w:t>
      </w:r>
      <w:proofErr w:type="gramEnd"/>
      <w:r>
        <w:rPr>
          <w:rFonts w:ascii="Times New Roman" w:hAnsi="Times New Roman"/>
        </w:rPr>
        <w:t xml:space="preserve"> de Projetos de Interesse Social;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Fundos de Investimento em Cotas de Fundos de Investimento em Direitos Creditórios;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Fundos de Financiamento da Indústria Cinematográfica Nacional;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Fundos Mútuos de Privatização – FGTS;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Fundos Mútuos de Privatização – FGTS – Carteira Livre;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IX – Fundos de Investimento em Empresas Emergentes;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Fundos de Índice, com Cotas Negociáveis em Bolsa de Valores ou Mercado de Balcão Organizado;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 – Fundos Mútuos de Investimento em Empresas Emergentes - Capital Estrangeiro;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 – Fundos de Conversão;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XIII – Fundos de Investimento Imobiliário;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XIV – Fundo de Privatização - Capital Estrangeiro;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XV – Fundos Mútuos de Ações Incentivadas;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XVI – Fundos de Investimento Cultural e Artístico;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XVII – Fundos de Investimento em Empresas Emergentes Inovadoras;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XVIII – Fundos de Aposentadoria Individual Programada – FAPI;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XIX – Fundos de Investimento em Diretos Creditórios Não-Padronizados.</w:t>
      </w:r>
    </w:p>
    <w:p w:rsidR="00B2445D" w:rsidRDefault="00B2445D" w:rsidP="00B2445D">
      <w:pPr>
        <w:pStyle w:val="NormalWeb"/>
        <w:jc w:val="both"/>
        <w:rPr>
          <w:rFonts w:ascii="Times New Roman" w:hAnsi="Times New Roman"/>
          <w:i/>
        </w:rPr>
      </w:pPr>
    </w:p>
    <w:p w:rsidR="00B2445D" w:rsidRDefault="00B2445D" w:rsidP="00B2445D">
      <w:pPr>
        <w:pStyle w:val="NormalWeb"/>
        <w:numPr>
          <w:ilvl w:val="0"/>
          <w:numId w:val="1"/>
        </w:numPr>
        <w:ind w:left="0" w:firstLine="567"/>
        <w:jc w:val="both"/>
        <w:rPr>
          <w:rFonts w:ascii="Times New Roman" w:hAnsi="Times New Roman"/>
          <w:i/>
        </w:rPr>
      </w:pPr>
      <w:r>
        <w:rPr>
          <w:rFonts w:ascii="Times New Roman" w:hAnsi="Times New Roman"/>
          <w:b/>
        </w:rPr>
        <w:t xml:space="preserve">Incisos XVII, XVIII e XIX acrescentados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II</w:t>
      </w:r>
    </w:p>
    <w:p w:rsidR="00B2445D" w:rsidRDefault="00B2445D" w:rsidP="00B2445D">
      <w:pPr>
        <w:pStyle w:val="NormalWeb"/>
        <w:ind w:firstLine="567"/>
        <w:jc w:val="center"/>
        <w:rPr>
          <w:rFonts w:ascii="Times New Roman" w:hAnsi="Times New Roman"/>
          <w:b/>
        </w:rPr>
      </w:pPr>
      <w:r>
        <w:rPr>
          <w:rFonts w:ascii="Times New Roman" w:hAnsi="Times New Roman"/>
          <w:b/>
        </w:rPr>
        <w:t>DAS CARACTERÍSTICAS E DA CONSTITUIÇÃO</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Das Características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2º</w:t>
      </w:r>
      <w:proofErr w:type="gramStart"/>
      <w:r>
        <w:rPr>
          <w:rFonts w:ascii="Times New Roman" w:hAnsi="Times New Roman"/>
          <w:strike/>
        </w:rPr>
        <w:t xml:space="preserve">  </w:t>
      </w:r>
      <w:proofErr w:type="gramEnd"/>
      <w:r>
        <w:rPr>
          <w:rFonts w:ascii="Times New Roman" w:hAnsi="Times New Roman"/>
          <w:strike/>
        </w:rPr>
        <w:t>O fundo de investimento é uma comunhão de recursos, constituída sob a forma de condomínio, destinado à aplicação em títulos e valores mobiliários, bem como em quaisquer outros ativos disponíveis no mercado financeiro e de capitais, observadas as disposições desta Instrução.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A aplicação no exterior de recursos oriundos de fundos de investimento regulados por esta Instrução obedecerá à regulamentação expedida pelo Conselho Monetário Nacional.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2º.  O fundo de investimento é uma comunhão de recursos, constituída sob a forma de condomínio, destinado à </w:t>
      </w:r>
      <w:proofErr w:type="gramStart"/>
      <w:r>
        <w:rPr>
          <w:rFonts w:ascii="Times New Roman" w:hAnsi="Times New Roman"/>
        </w:rPr>
        <w:t>aplicação em ativos financeiros, observadas</w:t>
      </w:r>
      <w:proofErr w:type="gramEnd"/>
      <w:r>
        <w:rPr>
          <w:rFonts w:ascii="Times New Roman" w:hAnsi="Times New Roman"/>
        </w:rPr>
        <w:t xml:space="preserve"> as disposições desta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Para efeito desta Instrução, consideram-se ativos financeiros: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títulos da dívida pública;</w:t>
      </w:r>
    </w:p>
    <w:p w:rsidR="00B2445D" w:rsidRDefault="00B2445D" w:rsidP="00B2445D">
      <w:pPr>
        <w:pStyle w:val="NormalWeb"/>
        <w:ind w:left="567"/>
        <w:jc w:val="both"/>
        <w:rPr>
          <w:rFonts w:ascii="Times New Roman" w:hAnsi="Times New Roman"/>
        </w:rPr>
      </w:pPr>
    </w:p>
    <w:p w:rsidR="00B2445D" w:rsidRDefault="00B2445D" w:rsidP="00B2445D">
      <w:pPr>
        <w:pStyle w:val="NormalWeb"/>
        <w:ind w:left="567"/>
        <w:jc w:val="both"/>
        <w:rPr>
          <w:rFonts w:ascii="Times New Roman" w:hAnsi="Times New Roman"/>
        </w:rPr>
      </w:pPr>
      <w:r>
        <w:rPr>
          <w:rFonts w:ascii="Times New Roman" w:hAnsi="Times New Roman"/>
        </w:rPr>
        <w:t>II – contratos derivativos;</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ações, debêntures, bônus de subscrição, seus cupons, direitos, recibos de subscrição e certificados de desdobramento, certificados de depósito de valores mobiliários, cédulas de debêntures, cotas de fundos de investimento, notas promissórias, e quaisquer outros valores </w:t>
      </w:r>
      <w:r>
        <w:rPr>
          <w:rFonts w:ascii="Times New Roman" w:hAnsi="Times New Roman"/>
          <w:strike/>
        </w:rPr>
        <w:lastRenderedPageBreak/>
        <w:t>mobiliários, que não os referidos no inciso IV, cuja emissão ou negociação tenha sido objeto de registro ou de autorização pela CVM;</w:t>
      </w:r>
    </w:p>
    <w:p w:rsidR="00B2445D" w:rsidRDefault="00B2445D" w:rsidP="00B2445D">
      <w:pPr>
        <w:pStyle w:val="NormalWeb"/>
        <w:ind w:firstLine="567"/>
        <w:jc w:val="both"/>
        <w:rPr>
          <w:rFonts w:ascii="Times New Roman" w:hAnsi="Times New Roman"/>
        </w:rPr>
      </w:pPr>
      <w:r>
        <w:rPr>
          <w:rFonts w:ascii="Times New Roman" w:hAnsi="Times New Roman"/>
        </w:rPr>
        <w:t>III – desde que a emissão ou negociação tenha sido objeto de registro ou de autorização pela CVM, ações, debêntures, bônus de subscrição, seus cupons, direitos, recibos de subscrição e certificados de desdobramentos, certificados de depósito de valores mobiliários, cédulas de debêntures, cotas de fundos de investimento, notas promissórias, e quaisquer outros valores mobiliários, que não os referidos no inciso IV;</w:t>
      </w:r>
    </w:p>
    <w:p w:rsidR="00B2445D" w:rsidRDefault="00B2445D" w:rsidP="00B2445D">
      <w:pPr>
        <w:pStyle w:val="NormalWeb"/>
        <w:ind w:firstLine="54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Inciso com redação dada pela Instrução 456, de 22 de junho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títulos ou contratos de investimento coletivo, registrados na CVM e ofertados publicamente, que gerem direito de participação, de parceria ou de remuneração, inclusive resultante de prestação de serviços, cujos rendimentos advêm do esforço do empreendedor ou de terceiros;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certificados ou recibos de depósitos emitidos no exterior com lastro em valores mobiliários de emissão de companhia aberta brasileira;</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o ouro, ativo financeiro, desde que negociado em padrão internacionalmente aceito;</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quaisquer títulos, contratos e modalidades operacionais de obrigação ou </w:t>
      </w:r>
      <w:proofErr w:type="spellStart"/>
      <w:proofErr w:type="gramStart"/>
      <w:r>
        <w:rPr>
          <w:rFonts w:ascii="Times New Roman" w:hAnsi="Times New Roman"/>
        </w:rPr>
        <w:t>co-obrigação</w:t>
      </w:r>
      <w:proofErr w:type="spellEnd"/>
      <w:proofErr w:type="gramEnd"/>
      <w:r>
        <w:rPr>
          <w:rFonts w:ascii="Times New Roman" w:hAnsi="Times New Roman"/>
        </w:rPr>
        <w:t xml:space="preserve"> de instituição financeira; e</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w:t>
      </w:r>
      <w:r>
        <w:rPr>
          <w:rFonts w:ascii="Times New Roman" w:hAnsi="Times New Roman"/>
          <w:b/>
        </w:rPr>
        <w:t>warrants</w:t>
      </w:r>
      <w:r>
        <w:rPr>
          <w:rFonts w:ascii="Times New Roman" w:hAnsi="Times New Roman"/>
        </w:rPr>
        <w:t>, contratos mercantis de compra e venda de produtos, mercadorias ou serviços para entrega ou prestação futura, títulos ou certificados representativos desses contratos e quaisquer outros créditos, títulos, contratos e modalidades operacionais desde que expressamente previstos no regulamento.</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2º</w:t>
      </w:r>
      <w:proofErr w:type="gramStart"/>
      <w:r>
        <w:rPr>
          <w:rFonts w:ascii="Times New Roman" w:hAnsi="Times New Roman"/>
          <w:strike/>
        </w:rPr>
        <w:t xml:space="preserve">  </w:t>
      </w:r>
      <w:proofErr w:type="gramEnd"/>
      <w:r>
        <w:rPr>
          <w:rFonts w:ascii="Times New Roman" w:hAnsi="Times New Roman"/>
          <w:strike/>
        </w:rPr>
        <w:t xml:space="preserve">Sem prejuízo do disposto na Resolução n.º 2.801, de 7 de dezembro de 2000, do Conselho Monetário Nacional, as aplicações do fundo em quaisquer dos ativos a que se referem os incisos II, IV e VIII  do § 1º deverão contar com liquidação financeira, ou ser objeto de contrato que assegure ao fundo o direito de sua alienação antes do vencimento,  com garantia de instituição financeira ou de sociedade seguradora, observada, neste último caso, regulamentação específica da Superintendência de Seguros Privados – SUSEP. </w:t>
      </w:r>
    </w:p>
    <w:p w:rsidR="00B2445D" w:rsidRDefault="00B2445D" w:rsidP="00B2445D">
      <w:pPr>
        <w:pStyle w:val="NormalWeb"/>
        <w:ind w:left="567"/>
        <w:jc w:val="both"/>
        <w:rPr>
          <w:rFonts w:ascii="Times New Roman" w:hAnsi="Times New Roman"/>
        </w:rPr>
      </w:pPr>
    </w:p>
    <w:p w:rsidR="00B2445D" w:rsidRDefault="00B2445D" w:rsidP="00B2445D">
      <w:pPr>
        <w:pStyle w:val="BodyTextIndent"/>
        <w:ind w:left="0" w:firstLine="540"/>
        <w:rPr>
          <w:strike/>
        </w:rPr>
      </w:pPr>
      <w:r>
        <w:rPr>
          <w:strike/>
        </w:rPr>
        <w:t>§ 2º</w:t>
      </w:r>
      <w:proofErr w:type="gramStart"/>
      <w:r>
        <w:rPr>
          <w:strike/>
        </w:rPr>
        <w:t xml:space="preserve">  </w:t>
      </w:r>
      <w:proofErr w:type="gramEnd"/>
      <w:r>
        <w:rPr>
          <w:strike/>
        </w:rPr>
        <w:t>Os ativos cuja liquidação possa se dar por meio da entrega de produtos, mercadorias ou serviços deverão:</w:t>
      </w:r>
    </w:p>
    <w:p w:rsidR="00B2445D" w:rsidRDefault="00B2445D" w:rsidP="00B2445D">
      <w:pPr>
        <w:pStyle w:val="BodyTextIndent"/>
        <w:ind w:left="0" w:firstLine="540"/>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Os ativos financeiros cuja liquidação possa se dar por meio da entrega de produtos, mercadorias ou serviços deverão: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Parágrafo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BodyTextIndent"/>
        <w:ind w:left="0" w:firstLine="540"/>
      </w:pPr>
    </w:p>
    <w:p w:rsidR="00B2445D" w:rsidRDefault="00B2445D" w:rsidP="00B2445D">
      <w:pPr>
        <w:pStyle w:val="BodyTextIndent"/>
        <w:ind w:left="0" w:firstLine="540"/>
      </w:pPr>
      <w:r>
        <w:t xml:space="preserve">I – ser negociados em bolsa de mercadorias e futuros que garanta sua liquidação, observado o disposto no §5º do art. 16; </w:t>
      </w:r>
      <w:proofErr w:type="gramStart"/>
      <w:r>
        <w:t>ou</w:t>
      </w:r>
      <w:proofErr w:type="gramEnd"/>
    </w:p>
    <w:p w:rsidR="00B2445D" w:rsidRDefault="00B2445D" w:rsidP="00B2445D">
      <w:pPr>
        <w:pStyle w:val="BodyTextIndent"/>
        <w:ind w:left="0" w:firstLine="540"/>
      </w:pPr>
    </w:p>
    <w:p w:rsidR="00B2445D" w:rsidRDefault="00B2445D" w:rsidP="00B2445D">
      <w:pPr>
        <w:pStyle w:val="BodyTextIndent"/>
        <w:ind w:left="0" w:firstLine="540"/>
      </w:pPr>
      <w:r>
        <w:t>II – ser objeto de contrato que assegure ao fundo o direito de sua alienação antes do vencimento, com garantia de instituição financeira ou de sociedade seguradora, observada, neste último caso, a regulamentação da Superintendência de Seguros Privados – SUSEP.</w:t>
      </w:r>
    </w:p>
    <w:p w:rsidR="00B2445D" w:rsidRDefault="00B2445D" w:rsidP="00B2445D">
      <w:pPr>
        <w:pStyle w:val="BodyTextIndent"/>
        <w:ind w:left="0" w:firstLine="540"/>
      </w:pPr>
    </w:p>
    <w:p w:rsidR="00B2445D" w:rsidRDefault="00B2445D" w:rsidP="00B2445D">
      <w:pPr>
        <w:pStyle w:val="NormalWeb"/>
        <w:numPr>
          <w:ilvl w:val="0"/>
          <w:numId w:val="1"/>
        </w:numPr>
        <w:ind w:left="0" w:firstLine="540"/>
        <w:jc w:val="both"/>
        <w:rPr>
          <w:rFonts w:ascii="Times New Roman" w:hAnsi="Times New Roman"/>
          <w:b/>
          <w:strike/>
        </w:rPr>
      </w:pPr>
      <w:r>
        <w:rPr>
          <w:rFonts w:ascii="Times New Roman" w:hAnsi="Times New Roman"/>
          <w:b/>
          <w:strike/>
        </w:rPr>
        <w:t>Parágrafo com redação dada pela Instrução 456, de 22 de junho de 2007.</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Somente poderão compor a carteira do fundo ativos financeiros admitidos a negociação em bolsa de valores, de mercadorias e futuros, ou registrados em sistema de registro, de custódia ou de liquidação financeira devidamente autorizado pelo Banco Central do Brasil ou pela CVM, nas suas respectivas áreas de competência.</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Não dependerão do registro de que trata o § 3º as cotas de fundos de investimento aberto.</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5º</w:t>
      </w:r>
      <w:proofErr w:type="gramStart"/>
      <w:r>
        <w:rPr>
          <w:rFonts w:ascii="Times New Roman" w:hAnsi="Times New Roman"/>
          <w:strike/>
        </w:rPr>
        <w:t xml:space="preserve">  </w:t>
      </w:r>
      <w:proofErr w:type="gramEnd"/>
      <w:r>
        <w:rPr>
          <w:rFonts w:ascii="Times New Roman" w:hAnsi="Times New Roman"/>
          <w:strike/>
        </w:rPr>
        <w:t>Os ativos financeiros referidos no § 1º incluem os ativos financeiros da mesma natureza negociados no exterior, nos casos e nos limites admitidos nesta Instrução, desde que:</w:t>
      </w:r>
    </w:p>
    <w:p w:rsidR="00B2445D" w:rsidRDefault="00B2445D" w:rsidP="00B2445D">
      <w:pPr>
        <w:pStyle w:val="NormalWeb"/>
        <w:ind w:left="567"/>
        <w:jc w:val="both"/>
        <w:rPr>
          <w:rFonts w:ascii="Times New Roman" w:hAnsi="Times New Roman"/>
          <w:strike/>
        </w:rPr>
      </w:pPr>
    </w:p>
    <w:p w:rsidR="00B2445D" w:rsidRDefault="00B2445D" w:rsidP="00B2445D">
      <w:pPr>
        <w:pStyle w:val="NormalWeb"/>
        <w:ind w:left="567"/>
        <w:jc w:val="both"/>
        <w:rPr>
          <w:rFonts w:ascii="Times New Roman" w:hAnsi="Times New Roman"/>
          <w:strike/>
        </w:rPr>
      </w:pPr>
      <w:r>
        <w:rPr>
          <w:rFonts w:ascii="Times New Roman" w:hAnsi="Times New Roman"/>
          <w:strike/>
        </w:rPr>
        <w:t xml:space="preserve">I – a possibilidade de sua aquisição esteja expressamente prevista em regulamento;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sejam admitidos à negociação em bolsas de valores, de mercadorias e futuros, ou registrados em sistema de registro, custódia ou de liquidação </w:t>
      </w:r>
      <w:proofErr w:type="gramStart"/>
      <w:r>
        <w:rPr>
          <w:rFonts w:ascii="Times New Roman" w:hAnsi="Times New Roman"/>
          <w:strike/>
        </w:rPr>
        <w:t>financeira devidamente autorizados</w:t>
      </w:r>
      <w:proofErr w:type="gramEnd"/>
      <w:r>
        <w:rPr>
          <w:rFonts w:ascii="Times New Roman" w:hAnsi="Times New Roman"/>
          <w:strike/>
        </w:rPr>
        <w:t xml:space="preserve"> em países signatários do Tratado de Assunção, ou em outras jurisdições, desde que, neste último caso, supervisionados por autoridade local reconhecida.</w:t>
      </w:r>
    </w:p>
    <w:p w:rsidR="00B2445D" w:rsidRDefault="00B2445D" w:rsidP="00B2445D">
      <w:pPr>
        <w:pStyle w:val="BodyTextIndent"/>
        <w:ind w:left="0" w:firstLine="540"/>
      </w:pPr>
    </w:p>
    <w:p w:rsidR="00B2445D" w:rsidRDefault="00B2445D" w:rsidP="00B2445D">
      <w:pPr>
        <w:pStyle w:val="BodyTextIndent"/>
        <w:ind w:left="0" w:firstLine="540"/>
        <w:rPr>
          <w:strike/>
        </w:rPr>
      </w:pPr>
      <w:r>
        <w:rPr>
          <w:strike/>
        </w:rPr>
        <w:t>§ 5º</w:t>
      </w:r>
      <w:proofErr w:type="gramStart"/>
      <w:r>
        <w:rPr>
          <w:strike/>
        </w:rPr>
        <w:t xml:space="preserve">  </w:t>
      </w:r>
      <w:proofErr w:type="gramEnd"/>
      <w:r>
        <w:rPr>
          <w:strike/>
        </w:rPr>
        <w:t>Os ativos financeiros referidos no § 1º incluem os ativos financeiros da mesma natureza negociados no exterior, nos casos e nos limites admitidos nesta Instrução, desde que a possibilidade de sua aquisição esteja expressamente prevista em regulamento, e:</w:t>
      </w:r>
    </w:p>
    <w:p w:rsidR="00B2445D" w:rsidRDefault="00B2445D" w:rsidP="00B2445D">
      <w:pPr>
        <w:pStyle w:val="BodyTextIndent"/>
        <w:ind w:left="0" w:firstLine="540"/>
      </w:pPr>
    </w:p>
    <w:p w:rsidR="00B2445D" w:rsidRDefault="00B2445D" w:rsidP="00B2445D">
      <w:pPr>
        <w:pStyle w:val="BodyTextIndent"/>
        <w:spacing w:before="240" w:after="240"/>
        <w:ind w:left="0" w:firstLine="540"/>
      </w:pPr>
      <w:r>
        <w:t>§ 5º</w:t>
      </w:r>
      <w:proofErr w:type="gramStart"/>
      <w:r>
        <w:t xml:space="preserve">  </w:t>
      </w:r>
      <w:proofErr w:type="gramEnd"/>
      <w:r>
        <w:t>Os ativos financeiros referidos no § 1º incluem os ativos financeiros da mesma natureza econômica negociados no exterior, nos casos e nos limites admitidos nesta Instrução, desde que a possibilidade de sua aquisição esteja expressamente prevista em regulamento e:</w:t>
      </w:r>
    </w:p>
    <w:p w:rsidR="00B2445D" w:rsidRDefault="00B2445D" w:rsidP="00B2445D">
      <w:pPr>
        <w:pStyle w:val="BodyTextIndent"/>
        <w:ind w:left="0" w:firstLine="540"/>
      </w:pPr>
      <w:r>
        <w:t xml:space="preserve">I – sejam admitidos à negociação em bolsas de valores, de mercadorias e futuros, ou registrados em sistema de registro, custódia ou de liquidação </w:t>
      </w:r>
      <w:proofErr w:type="gramStart"/>
      <w:r>
        <w:t>financeira devidamente autorizados</w:t>
      </w:r>
      <w:proofErr w:type="gramEnd"/>
      <w:r>
        <w:t xml:space="preserve"> em seus países de origem e supervisionados por autoridade local reconhecida; ou</w:t>
      </w:r>
    </w:p>
    <w:p w:rsidR="00B2445D" w:rsidRDefault="00B2445D" w:rsidP="00B2445D">
      <w:pPr>
        <w:pStyle w:val="BodyTextIndent"/>
        <w:ind w:left="0" w:firstLine="540"/>
      </w:pPr>
    </w:p>
    <w:p w:rsidR="00B2445D" w:rsidRDefault="00B2445D" w:rsidP="00B2445D">
      <w:pPr>
        <w:pStyle w:val="BodyTextIndent"/>
        <w:ind w:left="0" w:firstLine="540"/>
        <w:rPr>
          <w:strike/>
        </w:rPr>
      </w:pPr>
      <w:r>
        <w:rPr>
          <w:strike/>
        </w:rPr>
        <w:t xml:space="preserve">II – cuja existência tenha sido assegurada por entidade </w:t>
      </w:r>
      <w:proofErr w:type="spellStart"/>
      <w:r>
        <w:rPr>
          <w:strike/>
        </w:rPr>
        <w:t>custodiante</w:t>
      </w:r>
      <w:proofErr w:type="spellEnd"/>
      <w:r>
        <w:rPr>
          <w:strike/>
        </w:rPr>
        <w:t xml:space="preserve"> contratada pelo administrador do fundo, que seja devidamente autorizada para o exercício desta atividade em seu país de origem e supervisionada por autoridade local reconhecida.</w:t>
      </w:r>
    </w:p>
    <w:p w:rsidR="00B2445D" w:rsidRDefault="00B2445D" w:rsidP="00B2445D">
      <w:pPr>
        <w:pStyle w:val="BodyTextIndent"/>
        <w:rPr>
          <w:strike/>
        </w:rPr>
      </w:pPr>
    </w:p>
    <w:p w:rsidR="00B2445D" w:rsidRDefault="00B2445D" w:rsidP="00B2445D">
      <w:pPr>
        <w:pStyle w:val="BodyTextIndent"/>
        <w:numPr>
          <w:ilvl w:val="0"/>
          <w:numId w:val="1"/>
        </w:numPr>
        <w:ind w:left="0" w:firstLine="567"/>
        <w:rPr>
          <w:b/>
          <w:strike/>
        </w:rPr>
      </w:pPr>
      <w:r>
        <w:rPr>
          <w:b/>
          <w:strike/>
        </w:rPr>
        <w:t>Parágrafo com redação dada pela Instrução 456, de 22 de junho de 2007.</w:t>
      </w:r>
    </w:p>
    <w:p w:rsidR="00B2445D" w:rsidRDefault="00B2445D" w:rsidP="00B2445D">
      <w:pPr>
        <w:pStyle w:val="BodyTextIndent"/>
        <w:rPr>
          <w:b/>
        </w:rPr>
      </w:pPr>
    </w:p>
    <w:p w:rsidR="00B2445D" w:rsidRDefault="00B2445D" w:rsidP="00B2445D">
      <w:pPr>
        <w:pStyle w:val="BodyTextIndent"/>
        <w:ind w:left="0" w:firstLine="540"/>
      </w:pPr>
      <w:r>
        <w:t xml:space="preserve">II – cuja existência tenha sido assegurada pelo </w:t>
      </w:r>
      <w:proofErr w:type="spellStart"/>
      <w:r>
        <w:t>custodiante</w:t>
      </w:r>
      <w:proofErr w:type="spellEnd"/>
      <w:r>
        <w:t xml:space="preserve"> do fundo, que deverá contratar, especificamente para esta finalidade, terceiros devidamente autorizados para o exercício da atividade de custódia em países signatários do Tratado de Assunção ou em outras jurisdições, desde que, neste último caso, supervisionados por autoridade local reconhecida.</w:t>
      </w:r>
    </w:p>
    <w:p w:rsidR="00B2445D" w:rsidRDefault="00B2445D" w:rsidP="00B2445D">
      <w:pPr>
        <w:pStyle w:val="BodyTextIndent"/>
      </w:pPr>
    </w:p>
    <w:p w:rsidR="00B2445D" w:rsidRDefault="00B2445D" w:rsidP="00B2445D">
      <w:pPr>
        <w:pStyle w:val="BodyTextIndent"/>
        <w:numPr>
          <w:ilvl w:val="0"/>
          <w:numId w:val="1"/>
        </w:numPr>
        <w:ind w:left="0" w:firstLine="567"/>
        <w:rPr>
          <w:b/>
        </w:rPr>
      </w:pPr>
      <w:r>
        <w:rPr>
          <w:b/>
        </w:rPr>
        <w:t>§ 5º com redação dada pela Instrução 465, de 20 de fevereiro de 2008.</w:t>
      </w:r>
    </w:p>
    <w:p w:rsidR="00B2445D" w:rsidRDefault="00B2445D" w:rsidP="00B2445D">
      <w:pPr>
        <w:pStyle w:val="BodyTextIndent"/>
        <w:rPr>
          <w:b/>
        </w:rPr>
      </w:pPr>
    </w:p>
    <w:p w:rsidR="00B2445D" w:rsidRDefault="00B2445D" w:rsidP="00B2445D">
      <w:pPr>
        <w:pStyle w:val="NormalWeb"/>
        <w:ind w:firstLine="567"/>
        <w:jc w:val="both"/>
        <w:rPr>
          <w:rFonts w:ascii="Times New Roman" w:hAnsi="Times New Roman"/>
        </w:rPr>
      </w:pPr>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Para os efeitos do § 5º, considera-se reconhecida a autoridade com a qual a CVM tenha celebrado acordo de cooperação mútua que permita o intercâmbio de informações sobre operações cursadas nos mercados por ela supervisionados, ou que seja signatária do memorando multilateral de entendimentos da Organização Internacional das Comissões de Valores – OICV/IOSCO.</w:t>
      </w: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7º</w:t>
      </w:r>
      <w:proofErr w:type="gramStart"/>
      <w:r>
        <w:rPr>
          <w:rFonts w:ascii="Times New Roman" w:hAnsi="Times New Roman"/>
          <w:strike/>
        </w:rPr>
        <w:t xml:space="preserve">  </w:t>
      </w:r>
      <w:proofErr w:type="gramEnd"/>
      <w:r>
        <w:rPr>
          <w:rFonts w:ascii="Times New Roman" w:hAnsi="Times New Roman"/>
          <w:strike/>
        </w:rPr>
        <w:t>Para efeitos desta Instrução, os BDR classificados como nível I, de acordo com o disposto no art. 3º, §1º, inciso I da Instrução CVM nº 332, de 4 de abril de 2000, equiparam-se aos ativos financeiros no exterior.</w:t>
      </w:r>
    </w:p>
    <w:p w:rsidR="00B2445D" w:rsidRDefault="00B2445D" w:rsidP="00B2445D">
      <w:pPr>
        <w:pStyle w:val="BodyTextIndent"/>
        <w:ind w:left="0" w:firstLine="540"/>
      </w:pPr>
    </w:p>
    <w:p w:rsidR="00B2445D" w:rsidRDefault="00B2445D" w:rsidP="00B2445D">
      <w:pPr>
        <w:pStyle w:val="BodyTextIndent"/>
        <w:ind w:left="0" w:firstLine="540"/>
      </w:pPr>
      <w:r>
        <w:t>§ 7º</w:t>
      </w:r>
      <w:proofErr w:type="gramStart"/>
      <w:r>
        <w:t xml:space="preserve">  </w:t>
      </w:r>
      <w:proofErr w:type="gramEnd"/>
      <w:r>
        <w:t>Para efeitos desta Instrução:</w:t>
      </w:r>
    </w:p>
    <w:p w:rsidR="00B2445D" w:rsidRDefault="00B2445D" w:rsidP="00B2445D">
      <w:pPr>
        <w:pStyle w:val="BodyTextIndent"/>
        <w:ind w:left="0" w:firstLine="540"/>
      </w:pPr>
    </w:p>
    <w:p w:rsidR="00B2445D" w:rsidRDefault="00B2445D" w:rsidP="00B2445D">
      <w:pPr>
        <w:pStyle w:val="BodyTextIndent"/>
        <w:ind w:left="0" w:firstLine="540"/>
        <w:rPr>
          <w:strike/>
        </w:rPr>
      </w:pPr>
      <w:r>
        <w:rPr>
          <w:strike/>
        </w:rPr>
        <w:t xml:space="preserve">I – os ativos financeiros negociados em países signatários do Tratado de Assunção equiparam-se aos ativos financeiros negociados no mercado nacional; </w:t>
      </w:r>
      <w:proofErr w:type="gramStart"/>
      <w:r>
        <w:rPr>
          <w:strike/>
        </w:rPr>
        <w:t>e</w:t>
      </w:r>
      <w:proofErr w:type="gramEnd"/>
    </w:p>
    <w:p w:rsidR="00B2445D" w:rsidRDefault="00B2445D" w:rsidP="00B2445D">
      <w:pPr>
        <w:pStyle w:val="BodyTextIndent"/>
        <w:ind w:left="0" w:firstLine="540"/>
        <w:rPr>
          <w:strike/>
        </w:rPr>
      </w:pPr>
    </w:p>
    <w:p w:rsidR="00B2445D" w:rsidRDefault="00B2445D" w:rsidP="00B2445D">
      <w:pPr>
        <w:pStyle w:val="BodyTextIndent"/>
        <w:ind w:left="0" w:firstLine="540"/>
        <w:rPr>
          <w:strike/>
        </w:rPr>
      </w:pPr>
      <w:r>
        <w:rPr>
          <w:strike/>
        </w:rPr>
        <w:t xml:space="preserve">II – os </w:t>
      </w:r>
      <w:proofErr w:type="spellStart"/>
      <w:r>
        <w:rPr>
          <w:strike/>
        </w:rPr>
        <w:t>BDRs</w:t>
      </w:r>
      <w:proofErr w:type="spellEnd"/>
      <w:r>
        <w:rPr>
          <w:strike/>
        </w:rPr>
        <w:t xml:space="preserve"> classificados como nível I, de acordo com o disposto no art. 3º, § 1º, inciso I e § 2º, da Instrução CVM nº 332, de </w:t>
      </w:r>
      <w:proofErr w:type="gramStart"/>
      <w:r>
        <w:rPr>
          <w:strike/>
        </w:rPr>
        <w:t>4</w:t>
      </w:r>
      <w:proofErr w:type="gramEnd"/>
      <w:r>
        <w:rPr>
          <w:strike/>
        </w:rPr>
        <w:t xml:space="preserve"> de abril de 2000, equiparam-se aos ativos financeiros negociados no exterior.</w:t>
      </w:r>
    </w:p>
    <w:p w:rsidR="00B2445D" w:rsidRDefault="00B2445D" w:rsidP="00B2445D">
      <w:pPr>
        <w:pStyle w:val="BodyTextIndent"/>
        <w:ind w:left="0" w:firstLine="540"/>
        <w:rPr>
          <w:strike/>
        </w:rPr>
      </w:pPr>
    </w:p>
    <w:p w:rsidR="00B2445D" w:rsidRDefault="00B2445D" w:rsidP="00B2445D">
      <w:pPr>
        <w:pStyle w:val="BodyTextIndent"/>
        <w:numPr>
          <w:ilvl w:val="0"/>
          <w:numId w:val="1"/>
        </w:numPr>
        <w:ind w:left="0" w:firstLine="567"/>
        <w:rPr>
          <w:b/>
          <w:strike/>
        </w:rPr>
      </w:pPr>
      <w:r>
        <w:rPr>
          <w:b/>
          <w:strike/>
        </w:rPr>
        <w:t>Parágrafo com redação dada pela Instrução 456, de 22 de junho de 2007.</w:t>
      </w:r>
    </w:p>
    <w:p w:rsidR="00B2445D" w:rsidRDefault="00B2445D" w:rsidP="00B2445D">
      <w:pPr>
        <w:pStyle w:val="NormalWeb"/>
        <w:ind w:left="567"/>
        <w:jc w:val="both"/>
        <w:rPr>
          <w:rFonts w:ascii="Times New Roman" w:hAnsi="Times New Roman"/>
        </w:rPr>
      </w:pPr>
    </w:p>
    <w:p w:rsidR="00B2445D" w:rsidRDefault="00B2445D" w:rsidP="00B2445D">
      <w:pPr>
        <w:tabs>
          <w:tab w:val="left" w:pos="5103"/>
        </w:tabs>
        <w:spacing w:line="312" w:lineRule="auto"/>
        <w:ind w:firstLine="567"/>
        <w:jc w:val="both"/>
        <w:rPr>
          <w:szCs w:val="20"/>
        </w:rPr>
      </w:pPr>
      <w:r>
        <w:rPr>
          <w:szCs w:val="20"/>
        </w:rPr>
        <w:t>I – os ativos financeiros negociados em países signatários do Tratado de Assunção equiparam-se aos ativos financeiros negociados no mercado nacional;</w:t>
      </w:r>
    </w:p>
    <w:p w:rsidR="00B2445D" w:rsidRDefault="00B2445D" w:rsidP="00B2445D">
      <w:pPr>
        <w:tabs>
          <w:tab w:val="left" w:pos="5103"/>
        </w:tabs>
        <w:spacing w:line="312" w:lineRule="auto"/>
        <w:ind w:firstLine="567"/>
        <w:jc w:val="both"/>
        <w:rPr>
          <w:szCs w:val="20"/>
        </w:rPr>
      </w:pPr>
    </w:p>
    <w:p w:rsidR="00B2445D" w:rsidRDefault="00B2445D" w:rsidP="00B2445D">
      <w:pPr>
        <w:tabs>
          <w:tab w:val="left" w:pos="5103"/>
        </w:tabs>
        <w:spacing w:line="312" w:lineRule="auto"/>
        <w:ind w:firstLine="567"/>
        <w:jc w:val="both"/>
        <w:rPr>
          <w:szCs w:val="20"/>
        </w:rPr>
      </w:pPr>
      <w:r>
        <w:rPr>
          <w:szCs w:val="20"/>
        </w:rPr>
        <w:t xml:space="preserve">II – os BDR classificados como nível I, de acordo com o disposto no art. 3º, § 1º, inciso I e § 2º, da Instrução CVM nº 332, de </w:t>
      </w:r>
      <w:proofErr w:type="gramStart"/>
      <w:r>
        <w:rPr>
          <w:szCs w:val="20"/>
        </w:rPr>
        <w:t>4</w:t>
      </w:r>
      <w:proofErr w:type="gramEnd"/>
      <w:r>
        <w:rPr>
          <w:szCs w:val="20"/>
        </w:rPr>
        <w:t xml:space="preserve"> de abril de 2000, equiparam-se aos ativos financeiros negociados no exterior, exceto quando o fundo atender aos requisitos do § 3º do art. 95-B; e</w:t>
      </w:r>
    </w:p>
    <w:p w:rsidR="00B2445D" w:rsidRDefault="00B2445D" w:rsidP="00B2445D">
      <w:pPr>
        <w:tabs>
          <w:tab w:val="left" w:pos="5103"/>
        </w:tabs>
        <w:spacing w:line="312" w:lineRule="auto"/>
        <w:ind w:firstLine="567"/>
        <w:jc w:val="both"/>
        <w:rPr>
          <w:szCs w:val="20"/>
        </w:rPr>
      </w:pPr>
    </w:p>
    <w:p w:rsidR="00B2445D" w:rsidRDefault="00B2445D" w:rsidP="00B2445D">
      <w:pPr>
        <w:pStyle w:val="BodyTextIndent"/>
        <w:numPr>
          <w:ilvl w:val="0"/>
          <w:numId w:val="1"/>
        </w:numPr>
        <w:ind w:left="0" w:firstLine="567"/>
        <w:rPr>
          <w:b/>
        </w:rPr>
      </w:pPr>
      <w:r>
        <w:rPr>
          <w:b/>
        </w:rPr>
        <w:t>Incisos I e II com redação dada pela Instrução CVM nº 512, de 20 de dezembro de 2011.</w:t>
      </w:r>
    </w:p>
    <w:p w:rsidR="00B2445D" w:rsidRDefault="00B2445D" w:rsidP="00B2445D">
      <w:pPr>
        <w:tabs>
          <w:tab w:val="left" w:pos="5103"/>
        </w:tabs>
        <w:spacing w:line="312" w:lineRule="auto"/>
        <w:ind w:firstLine="567"/>
        <w:jc w:val="both"/>
        <w:rPr>
          <w:szCs w:val="20"/>
        </w:rPr>
      </w:pPr>
    </w:p>
    <w:p w:rsidR="00B2445D" w:rsidRDefault="00B2445D" w:rsidP="00B2445D">
      <w:pPr>
        <w:tabs>
          <w:tab w:val="left" w:pos="5103"/>
        </w:tabs>
        <w:spacing w:line="312" w:lineRule="auto"/>
        <w:ind w:firstLine="567"/>
        <w:jc w:val="both"/>
        <w:rPr>
          <w:szCs w:val="20"/>
        </w:rPr>
      </w:pPr>
      <w:r>
        <w:rPr>
          <w:szCs w:val="20"/>
        </w:rPr>
        <w:lastRenderedPageBreak/>
        <w:t>III – as cotas dos fundos da classe “Ações – BDR Nível I” equiparam-se aos ativos financeiros negociados no exterior, exceto quando o fundo investidor atender aos requisitos do § 3º do art. 95-B.</w:t>
      </w:r>
    </w:p>
    <w:p w:rsidR="00B2445D" w:rsidRDefault="00B2445D" w:rsidP="00B2445D">
      <w:pPr>
        <w:tabs>
          <w:tab w:val="left" w:pos="5103"/>
        </w:tabs>
        <w:spacing w:line="312" w:lineRule="auto"/>
        <w:ind w:firstLine="567"/>
        <w:jc w:val="both"/>
        <w:rPr>
          <w:szCs w:val="20"/>
        </w:rPr>
      </w:pPr>
    </w:p>
    <w:p w:rsidR="00B2445D" w:rsidRDefault="00B2445D" w:rsidP="00B2445D">
      <w:pPr>
        <w:pStyle w:val="BodyTextIndent"/>
        <w:numPr>
          <w:ilvl w:val="0"/>
          <w:numId w:val="1"/>
        </w:numPr>
        <w:ind w:left="0" w:firstLine="567"/>
        <w:rPr>
          <w:b/>
        </w:rPr>
      </w:pPr>
      <w:r>
        <w:rPr>
          <w:b/>
        </w:rPr>
        <w:t>Incisos III incluído pela Instrução CVM nº 512, de 20 de dezembro de 2011.</w:t>
      </w:r>
    </w:p>
    <w:p w:rsidR="00B2445D" w:rsidRDefault="00B2445D" w:rsidP="00B2445D">
      <w:pPr>
        <w:pStyle w:val="NormalWeb"/>
        <w:ind w:left="567"/>
        <w:jc w:val="both"/>
        <w:rPr>
          <w:rFonts w:ascii="Times New Roman" w:hAnsi="Times New Roman"/>
        </w:rPr>
      </w:pPr>
    </w:p>
    <w:p w:rsidR="00B2445D" w:rsidRDefault="00B2445D" w:rsidP="00B2445D">
      <w:pPr>
        <w:pStyle w:val="NormalWeb"/>
        <w:ind w:left="567"/>
        <w:jc w:val="both"/>
        <w:rPr>
          <w:rFonts w:ascii="Times New Roman" w:hAnsi="Times New Roman"/>
        </w:rPr>
      </w:pPr>
    </w:p>
    <w:p w:rsidR="00B2445D" w:rsidRDefault="00B2445D" w:rsidP="00B2445D">
      <w:pPr>
        <w:pStyle w:val="NormalWeb"/>
        <w:ind w:firstLine="540"/>
        <w:jc w:val="both"/>
        <w:rPr>
          <w:rFonts w:ascii="Times New Roman" w:hAnsi="Times New Roman"/>
        </w:rPr>
      </w:pPr>
      <w:r>
        <w:rPr>
          <w:rFonts w:ascii="Times New Roman" w:hAnsi="Times New Roman"/>
        </w:rPr>
        <w:t>§ 8º</w:t>
      </w:r>
      <w:proofErr w:type="gramStart"/>
      <w:r>
        <w:rPr>
          <w:rFonts w:ascii="Times New Roman" w:hAnsi="Times New Roman"/>
        </w:rPr>
        <w:t xml:space="preserve">  </w:t>
      </w:r>
      <w:proofErr w:type="gramEnd"/>
      <w:r>
        <w:rPr>
          <w:rFonts w:ascii="Times New Roman" w:hAnsi="Times New Roman"/>
        </w:rPr>
        <w:t>Os registros a que se referem os §§ 3º, e 5º, inciso II, deste artigo deverão ser realizados em contas de depósito específicas, abertas diretamente em nome do fundo.</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Art. 2º e §§ com redação dada pela Instrução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3º</w:t>
      </w:r>
      <w:proofErr w:type="gramStart"/>
      <w:r>
        <w:rPr>
          <w:rFonts w:ascii="Times New Roman" w:hAnsi="Times New Roman"/>
        </w:rPr>
        <w:t xml:space="preserve">  </w:t>
      </w:r>
      <w:proofErr w:type="gramEnd"/>
      <w:r>
        <w:rPr>
          <w:rFonts w:ascii="Times New Roman" w:hAnsi="Times New Roman"/>
        </w:rPr>
        <w:t>O fundo será constituído por deliberação de um administrador que preencha os requisitos estabelecidos nesta Instrução, a quem incumbe aprovar, no mesmo ato, o regulamento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Podem ser administradores de fundo de investimento as pessoas jurídicas autorizadas pela CVM para o exercício profissional de administração de carteira, nos termos do art. 23 da Lei n.º 6.385, de </w:t>
      </w:r>
      <w:proofErr w:type="gramStart"/>
      <w:r>
        <w:rPr>
          <w:rFonts w:ascii="Times New Roman" w:hAnsi="Times New Roman"/>
        </w:rPr>
        <w:t>7</w:t>
      </w:r>
      <w:proofErr w:type="gramEnd"/>
      <w:r>
        <w:rPr>
          <w:rFonts w:ascii="Times New Roman" w:hAnsi="Times New Roman"/>
        </w:rPr>
        <w:t xml:space="preserve"> de dezembro de 1976.</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4°</w:t>
      </w:r>
      <w:proofErr w:type="gramStart"/>
      <w:r>
        <w:rPr>
          <w:rFonts w:ascii="Times New Roman" w:hAnsi="Times New Roman"/>
        </w:rPr>
        <w:t xml:space="preserve">  </w:t>
      </w:r>
      <w:proofErr w:type="gramEnd"/>
      <w:r>
        <w:rPr>
          <w:rFonts w:ascii="Times New Roman" w:hAnsi="Times New Roman"/>
        </w:rPr>
        <w:t>Da denominação do fundo constará a expressão "Fundo de Investimento", acrescida da referência à classe de fundo, segundo a classificação estabelecida na seção II do Capítulo VIII.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À denominação do fundo não poderão ser acrescidos termos ou expressões que induzam interpretação indevida quanto a seus objetivos, sua política de investimento, ou seu público alvo.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Poderão ser acrescidas à denominação do fundo expressões que indiquem o eventual tratamento tributário específico a que estejam sujeitos o fundo ou seus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À denominação do fundo não poderão ser acrescidos termos ou expressões que induzam interpretação indevida quanto a seus objetivos, sua política de investimento, seu público alvo ou o eventual tratamento tributário específico a que estejam sujeitos o fundo ou seus cotistas, observado o disposto nos parágrafos do art. 92.</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Primitivos §§1º e 2º transformados em parágrafo único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5º</w:t>
      </w:r>
      <w:proofErr w:type="gramStart"/>
      <w:r>
        <w:rPr>
          <w:rFonts w:ascii="Times New Roman" w:hAnsi="Times New Roman"/>
        </w:rPr>
        <w:t xml:space="preserve">  </w:t>
      </w:r>
      <w:proofErr w:type="gramEnd"/>
      <w:r>
        <w:rPr>
          <w:rFonts w:ascii="Times New Roman" w:hAnsi="Times New Roman"/>
        </w:rPr>
        <w:t>O fundo pode ser constituído sob a forma de condomínio aberto, em que os cotistas podem solicitar o resgate de suas cotas a qualquer tempo, ou fechado, em que as cotas somente são resgatadas ao término do prazo de duração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Admite-se a amortização de cotas tanto no fundo fechado como no fundo aberto, mediante o pagamento uniforme a todos os cotistas de parcela do valor de suas cotas sem redução do número de cotas emitidas, efetuado em conformidade com o que a esse respeito dispuser o regulamento ou a </w:t>
      </w:r>
      <w:proofErr w:type="spellStart"/>
      <w:r>
        <w:rPr>
          <w:rFonts w:ascii="Times New Roman" w:hAnsi="Times New Roman"/>
        </w:rPr>
        <w:t>assembléia</w:t>
      </w:r>
      <w:proofErr w:type="spellEnd"/>
      <w:r>
        <w:rPr>
          <w:rFonts w:ascii="Times New Roman" w:hAnsi="Times New Roman"/>
        </w:rPr>
        <w:t xml:space="preserve"> geral de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6º O fundo será regido pelo regulamento, devendo divulgar suas principais características ao público através de um prospecto elaborado em conformidade com o disposto na Seção V do Capítulo III, ressalvado o disposto no art. 110, inciso II desta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Do Registro dos Fundos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7º</w:t>
      </w:r>
      <w:proofErr w:type="gramStart"/>
      <w:r>
        <w:rPr>
          <w:rFonts w:ascii="Times New Roman" w:hAnsi="Times New Roman"/>
        </w:rPr>
        <w:t xml:space="preserve">  </w:t>
      </w:r>
      <w:proofErr w:type="gramEnd"/>
      <w:r>
        <w:rPr>
          <w:rFonts w:ascii="Times New Roman" w:hAnsi="Times New Roman"/>
        </w:rPr>
        <w:t>O funcionamento do fundo depende do prévio registro na CVM, o qual será procedido através do envio, pelo administrador, dos documentos previstos no art. 8º, através do Sistema de Envio de Documentos disponível na página da CVM na rede mundial de computadores, e considerar-se-á automaticamente concedido na data constante do respectivo protocolo de envio.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8º</w:t>
      </w:r>
      <w:proofErr w:type="gramStart"/>
      <w:r>
        <w:rPr>
          <w:rFonts w:ascii="Times New Roman" w:hAnsi="Times New Roman"/>
        </w:rPr>
        <w:t xml:space="preserve">  </w:t>
      </w:r>
      <w:proofErr w:type="gramEnd"/>
      <w:r>
        <w:rPr>
          <w:rFonts w:ascii="Times New Roman" w:hAnsi="Times New Roman"/>
        </w:rPr>
        <w:t xml:space="preserve">O pedido de registro deve ser instruído com os seguintes documentos e informações: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regulamento do fundo, elaborado de acordo com as disposições desta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os dados relativos ao registro do regulamento em cartório de títulos e documentos;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prospecto, elaborado em conformidade com disposto na Seção V, Capítulo III, ressalvado o disposto nos art. 110, inciso II;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declaração do administrador do fundo de que firmou os contratos mencionados no art. 57, se for o caso, e de que os mesmos se encontram à disposição da CVM;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nome do auditor independente;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VI – inscrição do fundo no CNPJ; </w:t>
      </w:r>
      <w:proofErr w:type="gramStart"/>
      <w:r>
        <w:rPr>
          <w:rFonts w:ascii="Times New Roman" w:hAnsi="Times New Roman"/>
          <w:strike/>
        </w:rPr>
        <w:t>e</w:t>
      </w:r>
      <w:proofErr w:type="gramEnd"/>
      <w:r>
        <w:rPr>
          <w:rFonts w:ascii="Times New Roman" w:hAnsi="Times New Roman"/>
          <w:strike/>
        </w:rPr>
        <w:t xml:space="preserve">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VII – formulário padronizado com as informações básicas do fundo, conforme modelo disponível na página da CVM na rede mundial de computadores, devidamente preenchido.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VI – inscrição do fundo no CNPJ;</w:t>
      </w:r>
      <w:bookmarkStart w:id="0" w:name="_DV_M72"/>
      <w:bookmarkEnd w:id="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formulário padronizado com as informações básicas do fundo, conforme modelo disponível na página da CVM na rede mundial de computadores, devidamente preenchido</w:t>
      </w:r>
      <w:bookmarkStart w:id="1" w:name="_DV_C8"/>
      <w:r>
        <w:rPr>
          <w:rFonts w:ascii="Times New Roman" w:hAnsi="Times New Roman"/>
        </w:rPr>
        <w:t xml:space="preserve">; </w:t>
      </w:r>
      <w:proofErr w:type="gramStart"/>
      <w:r>
        <w:rPr>
          <w:rFonts w:ascii="Times New Roman" w:hAnsi="Times New Roman"/>
        </w:rPr>
        <w:t>e</w:t>
      </w:r>
      <w:bookmarkEnd w:id="1"/>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VI e VII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 w:name="_DV_C9"/>
      <w:r>
        <w:rPr>
          <w:rFonts w:ascii="Times New Roman" w:hAnsi="Times New Roman"/>
        </w:rPr>
        <w:t xml:space="preserve">VIII – lâmina elaborada de acordo com o Anexo III desta </w:t>
      </w:r>
      <w:bookmarkStart w:id="3" w:name="_DV_M74"/>
      <w:bookmarkEnd w:id="2"/>
      <w:bookmarkEnd w:id="3"/>
      <w:r>
        <w:rPr>
          <w:rFonts w:ascii="Times New Roman" w:hAnsi="Times New Roman"/>
        </w:rPr>
        <w:t>Instrução, no caso de fundo aberto que não seja destinado exclusivamente a investidores qualificados.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VIII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Os itens 5, 7, 8 e 9 do Anexo III desta Instrução ficam dispensados de apresentação na instrução do pedido de registro do fundo e até que o fundo complete </w:t>
      </w:r>
      <w:proofErr w:type="gramStart"/>
      <w:r>
        <w:rPr>
          <w:rFonts w:ascii="Times New Roman" w:hAnsi="Times New Roman"/>
          <w:strike/>
        </w:rPr>
        <w:t>1</w:t>
      </w:r>
      <w:proofErr w:type="gramEnd"/>
      <w:r>
        <w:rPr>
          <w:rFonts w:ascii="Times New Roman" w:hAnsi="Times New Roman"/>
          <w:strike/>
        </w:rPr>
        <w:t xml:space="preserve"> (um) ano de operação.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strike/>
        </w:rPr>
      </w:pPr>
      <w:r>
        <w:rPr>
          <w:rFonts w:ascii="Times New Roman" w:hAnsi="Times New Roman"/>
          <w:b/>
          <w:strike/>
        </w:rPr>
        <w:t xml:space="preserve">Parágrafo único incluído pela Instrução CVM nº 522, de </w:t>
      </w:r>
      <w:proofErr w:type="gramStart"/>
      <w:r>
        <w:rPr>
          <w:rFonts w:ascii="Times New Roman" w:hAnsi="Times New Roman"/>
          <w:b/>
          <w:strike/>
        </w:rPr>
        <w:t>8</w:t>
      </w:r>
      <w:proofErr w:type="gramEnd"/>
      <w:r>
        <w:rPr>
          <w:rFonts w:ascii="Times New Roman" w:hAnsi="Times New Roman"/>
          <w:b/>
          <w:strike/>
        </w:rPr>
        <w:t xml:space="preserve"> de maio de 2012.</w:t>
      </w:r>
    </w:p>
    <w:p w:rsidR="00B2445D" w:rsidRDefault="00B2445D" w:rsidP="00B2445D">
      <w:pPr>
        <w:pStyle w:val="NormalWeb"/>
        <w:tabs>
          <w:tab w:val="left" w:pos="720"/>
        </w:tabs>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campo “Taxa Total de Despesas” do item </w:t>
      </w:r>
      <w:proofErr w:type="gramStart"/>
      <w:r>
        <w:rPr>
          <w:rFonts w:ascii="Times New Roman" w:hAnsi="Times New Roman"/>
        </w:rPr>
        <w:t>4</w:t>
      </w:r>
      <w:proofErr w:type="gramEnd"/>
      <w:r>
        <w:rPr>
          <w:rFonts w:ascii="Times New Roman" w:hAnsi="Times New Roman"/>
        </w:rPr>
        <w:t xml:space="preserve"> e os itens 5, 7, 8 e 9 do Anexo III desta Instrução ficam dispensados de apresentação na instrução do pedido de registro do fundo e até que o fundo complete 1 (um) ano de operação.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Parágrafo único com redação dada pela Instrução CVM nº 524, de 06 de agosto de 2012.</w:t>
      </w:r>
    </w:p>
    <w:p w:rsidR="00B2445D" w:rsidRDefault="00B2445D" w:rsidP="00B2445D">
      <w:pPr>
        <w:pStyle w:val="NormalWeb"/>
        <w:tabs>
          <w:tab w:val="left" w:pos="720"/>
        </w:tabs>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9º</w:t>
      </w:r>
      <w:proofErr w:type="gramStart"/>
      <w:r>
        <w:rPr>
          <w:rFonts w:ascii="Times New Roman" w:hAnsi="Times New Roman"/>
        </w:rPr>
        <w:t xml:space="preserve">  </w:t>
      </w:r>
      <w:proofErr w:type="gramEnd"/>
      <w:r>
        <w:rPr>
          <w:rFonts w:ascii="Times New Roman" w:hAnsi="Times New Roman"/>
        </w:rPr>
        <w:t>A CVM cancelará o registro: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do fundo aberto que não houver atendido o disposto no art. 105;</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do fundo fechado, quando não for subscrito o número mínimo de cotas representativas do seu patrimônio inicial, no prazo de 180 (cento e oitenta) dias, conforme o disposto na Seção II do Capítulo III.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A CVM, em virtude de solicitação fundamentada e a seu exclusivo critério, pode prorrogar o prazo previsto no inciso II, uma única vez, por período no máximo igual ao prazo inicial.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r>
        <w:rPr>
          <w:rFonts w:ascii="Times New Roman" w:hAnsi="Times New Roman"/>
        </w:rPr>
        <w:t>Das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10.  As cotas do fundo correspondem a frações ideais de seu patrimônio, e serão escriturais e nominativas.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1º O valor da cota do dia é resultante da divisão do valor do patrimônio líquido pelo número de cotas do fundo, apurados, ambos, no encerramento do dia, assim entendido, para os efeitos desta Instrução, o horário de fechamento dos mercados em que o fundo atue.</w:t>
      </w:r>
    </w:p>
    <w:p w:rsidR="00B2445D" w:rsidRDefault="00B2445D" w:rsidP="00B2445D">
      <w:pPr>
        <w:pStyle w:val="NormalWeb"/>
        <w:ind w:left="128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As cotas do fundo conferirão iguais direitos e obrigações aos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As cotas do fundo conferirão iguais direitos e obrigações aos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valor da cota do dia é resultante da divisão do valor do patrimônio líquido pelo número de cotas do fundo, apurados, ambos, no encerramento do dia, assim entendido, para os efeitos desta Instrução, o horário de fechamento dos mercados em que o fundo atue.</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§§1º e 2º renumerados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Quando se tratar dos fundos de investimento referidos nos </w:t>
      </w:r>
      <w:proofErr w:type="spellStart"/>
      <w:r>
        <w:rPr>
          <w:rFonts w:ascii="Times New Roman" w:hAnsi="Times New Roman"/>
          <w:strike/>
        </w:rPr>
        <w:t>arts</w:t>
      </w:r>
      <w:proofErr w:type="spellEnd"/>
      <w:r>
        <w:rPr>
          <w:rFonts w:ascii="Times New Roman" w:hAnsi="Times New Roman"/>
          <w:strike/>
        </w:rPr>
        <w:t>. 93, 94 e 95, o valor da cota do dia poderá ser calculado a partir do patrimônio líquido do dia anterior, devidamente atualizado por um dia.</w:t>
      </w:r>
    </w:p>
    <w:p w:rsidR="00B2445D" w:rsidRDefault="00B2445D" w:rsidP="00B2445D">
      <w:pPr>
        <w:pStyle w:val="NormalWeb"/>
        <w:ind w:firstLine="567"/>
        <w:jc w:val="both"/>
        <w:rPr>
          <w:rFonts w:ascii="Times New Roman" w:hAnsi="Times New Roman"/>
          <w:b/>
          <w:strike/>
        </w:rPr>
      </w:pPr>
    </w:p>
    <w:p w:rsidR="00B2445D" w:rsidRDefault="00B2445D" w:rsidP="00B2445D">
      <w:pPr>
        <w:pStyle w:val="NormalWeb"/>
        <w:numPr>
          <w:ilvl w:val="0"/>
          <w:numId w:val="1"/>
        </w:numPr>
        <w:jc w:val="both"/>
        <w:rPr>
          <w:rFonts w:ascii="Times New Roman" w:hAnsi="Times New Roman"/>
          <w:b/>
          <w:strike/>
        </w:rPr>
      </w:pPr>
      <w:r>
        <w:rPr>
          <w:rFonts w:ascii="Times New Roman" w:hAnsi="Times New Roman"/>
          <w:b/>
          <w:strike/>
        </w:rPr>
        <w:t>§3º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411, de 26 de novembro de 2004. </w:t>
      </w:r>
    </w:p>
    <w:p w:rsidR="00B2445D" w:rsidRDefault="00B2445D" w:rsidP="00B2445D">
      <w:pPr>
        <w:pStyle w:val="NormalWeb"/>
        <w:ind w:firstLine="567"/>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O regulamento do fundo poderá estabelecer que o valor da cota do dia será calculado a partir do patrimônio líquido do dia anterior, devidamente atualizado por 1 (um) dia, quando se tratar dos fundos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classificados, na forma do art. 92, como “Curto Prazo”, “Renda </w:t>
      </w:r>
      <w:proofErr w:type="gramStart"/>
      <w:r>
        <w:rPr>
          <w:rFonts w:ascii="Times New Roman" w:hAnsi="Times New Roman"/>
        </w:rPr>
        <w:t>Fixa” e “Referenciados”</w:t>
      </w:r>
      <w:proofErr w:type="gramEnd"/>
      <w:r>
        <w:rPr>
          <w:rFonts w:ascii="Times New Roman" w:hAnsi="Times New Roman"/>
        </w:rPr>
        <w:t>; ou</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registrados como “Exclusivos” ou “Previdenciários”, na forma dos </w:t>
      </w:r>
      <w:proofErr w:type="spellStart"/>
      <w:r>
        <w:rPr>
          <w:rFonts w:ascii="Times New Roman" w:hAnsi="Times New Roman"/>
        </w:rPr>
        <w:t>arts</w:t>
      </w:r>
      <w:proofErr w:type="spellEnd"/>
      <w:r>
        <w:rPr>
          <w:rFonts w:ascii="Times New Roman" w:hAnsi="Times New Roman"/>
        </w:rPr>
        <w:t>. 111-A e 116.</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§3º com a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Para efeito do disposto no § 3º, os eventuais ajustes decorrentes das movimentações ocorridas durante o dia deverão ser lançados contra as aplicações ou regates dos cotistas que efetuaram essas movimentações ou, ainda, contra o patrimônio do fundo, conforme dispuser o regulamento.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§4º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Quando se tratar de fundo que atue em mercados no exterior, o encerramento do dia poderá ser considerado como o horário de fechamento do mercado indicado no regulamento.</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§5º acrescentado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  A qualidade de cotista caracteriza-se pela inscrição do nome do titular no registro de cotistas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administrador do fundo, o terceiro contratado para essa finalidade, na forma do art. 57 e a instituição intermediária a que se refere </w:t>
      </w:r>
      <w:proofErr w:type="gramStart"/>
      <w:r>
        <w:rPr>
          <w:rFonts w:ascii="Times New Roman" w:hAnsi="Times New Roman"/>
        </w:rPr>
        <w:t>a</w:t>
      </w:r>
      <w:proofErr w:type="gramEnd"/>
      <w:r>
        <w:rPr>
          <w:rFonts w:ascii="Times New Roman" w:hAnsi="Times New Roman"/>
        </w:rPr>
        <w:t xml:space="preserve"> Seção IV do Capítulo III desta Instrução, são responsáveis, conforme o caso, por efetuar o registro a que se refere o caput deste artigo.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Art. 12.  A cota de fundo aberto não pode ser objeto de cessão ou transferência, salvo por decisão judicial ou sucessão universal.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12.  A cota de fundo aberto não pode ser objeto de cessão ou transferência, salvo por decisão judicial, execução de garantia ou sucessão universal.</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
        </w:numPr>
        <w:ind w:left="0" w:firstLine="567"/>
        <w:jc w:val="both"/>
        <w:rPr>
          <w:rFonts w:ascii="Times New Roman" w:hAnsi="Times New Roman"/>
          <w:b/>
        </w:rPr>
      </w:pPr>
      <w:r>
        <w:rPr>
          <w:rFonts w:ascii="Times New Roman" w:hAnsi="Times New Roman"/>
          <w:b/>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A cota de fundo fechado pode ser transferida, mediante termo de cessão e transferência, assinado pelo cedente e pelo cessionário, ou através de bolsa de valores ou entidade de balcão organizado em que as cotas do fundo sejam admitidas à negociação.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A transferência de titularidade das cotas de fundo fechado fica condicionada à verificação pelo administrador do atendimento das formalidades estabelecidas no regulamento e na presente Instrução.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13.  Os cotistas responderão por eventual patrimônio líquido negativo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strike/>
        </w:rPr>
        <w:t>Parágrafo único. Sem prejuízo do disposto no caput, o administrador e o gestor, se houver, serão responsáveis perante os cotistas pela inobservância da política de investimento ou dos limites de concentração previstos em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13.  Os cotistas responderão por eventual patrimônio líquido negativo do fundo, sem prejuízo da responsabilidade do administrador e do gestor, se houver, em caso de inobservância da política de investimento ou dos limites de concentração previstos no regulamento 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lastRenderedPageBreak/>
        <w:t xml:space="preserve">Art. 13 com redação dada pela Instrução CVM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w:t>
      </w:r>
    </w:p>
    <w:p w:rsidR="00B2445D" w:rsidRDefault="00B2445D" w:rsidP="00B2445D">
      <w:pPr>
        <w:pStyle w:val="NormalWeb"/>
        <w:ind w:firstLine="567"/>
        <w:jc w:val="center"/>
        <w:rPr>
          <w:rFonts w:ascii="Times New Roman" w:hAnsi="Times New Roman"/>
        </w:rPr>
      </w:pPr>
      <w:r>
        <w:rPr>
          <w:rFonts w:ascii="Times New Roman" w:hAnsi="Times New Roman"/>
        </w:rPr>
        <w:t>Da Emissão e do Resgate de Cotas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14.  Na emissão das cotas do fundo deve ser utilizado o valor da cota do dia ou do dia seguinte ao da efetiva disponibilidade, pelo administrador ou intermediário, dos recursos </w:t>
      </w:r>
      <w:proofErr w:type="gramStart"/>
      <w:r>
        <w:rPr>
          <w:rFonts w:ascii="Times New Roman" w:hAnsi="Times New Roman"/>
          <w:strike/>
        </w:rPr>
        <w:t>investidos, segundo o disposto no regulamento, ressalvadas</w:t>
      </w:r>
      <w:proofErr w:type="gramEnd"/>
      <w:r>
        <w:rPr>
          <w:rFonts w:ascii="Times New Roman" w:hAnsi="Times New Roman"/>
          <w:strike/>
        </w:rPr>
        <w:t xml:space="preserve"> as hipóteses dos </w:t>
      </w:r>
      <w:proofErr w:type="spellStart"/>
      <w:r>
        <w:rPr>
          <w:rFonts w:ascii="Times New Roman" w:hAnsi="Times New Roman"/>
          <w:strike/>
        </w:rPr>
        <w:t>arts</w:t>
      </w:r>
      <w:proofErr w:type="spellEnd"/>
      <w:r>
        <w:rPr>
          <w:rFonts w:ascii="Times New Roman" w:hAnsi="Times New Roman"/>
          <w:strike/>
        </w:rPr>
        <w:t xml:space="preserve">. 93, 94 e 95.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14.  Na emissão das cotas do fundo deve ser utilizado o valor da cota do dia ou do dia seguinte ao da efetiva disponibilidade, pelo administrador ou intermediário, dos recursos investidos, segundo o disposto no regulamento.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
        </w:numPr>
        <w:ind w:left="0" w:firstLine="567"/>
        <w:jc w:val="both"/>
        <w:rPr>
          <w:rFonts w:ascii="Times New Roman" w:hAnsi="Times New Roman"/>
          <w:b/>
        </w:rPr>
      </w:pPr>
      <w:r>
        <w:rPr>
          <w:rFonts w:ascii="Times New Roman" w:hAnsi="Times New Roman"/>
          <w:b/>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A integralização do valor das cotas do fundo deve ser realizada em moeda corrente nacional, ressalvada a hipótese do inciso I do art. 110.</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15.  O resgate de cotas de fundo obedecerá às seguintes regras: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o regulamento estabelecerá o prazo entre o pedido de resgate e a data de conversão de cotas, assim entendida, para os efeitos desta Instrução, a data da apuração do valor da cota para efeito do pagamento do resgate;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II – a conversão de cotas dar-se-á pelo valor da cota do dia na data da conversão, ressalvadas as hipóteses dos </w:t>
      </w:r>
      <w:proofErr w:type="gramStart"/>
      <w:r>
        <w:rPr>
          <w:rFonts w:ascii="Times New Roman" w:hAnsi="Times New Roman"/>
          <w:strike/>
        </w:rPr>
        <w:t>arts.</w:t>
      </w:r>
      <w:proofErr w:type="gramEnd"/>
      <w:r>
        <w:rPr>
          <w:rFonts w:ascii="Times New Roman" w:hAnsi="Times New Roman"/>
          <w:strike/>
        </w:rPr>
        <w:t xml:space="preserve">93, 94 e 95.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o pagamento do resgate deverá ser efetuado em cheque, crédito em conta corrente ou ordem de pagamento, no prazo estabelecido no regulamento, que não poderá ser superior a </w:t>
      </w:r>
      <w:proofErr w:type="gramStart"/>
      <w:r>
        <w:rPr>
          <w:rFonts w:ascii="Times New Roman" w:hAnsi="Times New Roman"/>
          <w:strike/>
        </w:rPr>
        <w:t>5</w:t>
      </w:r>
      <w:proofErr w:type="gramEnd"/>
      <w:r>
        <w:rPr>
          <w:rFonts w:ascii="Times New Roman" w:hAnsi="Times New Roman"/>
          <w:strike/>
        </w:rPr>
        <w:t xml:space="preserve"> (cinco) dias úteis, contados da data da conversão de cotas, ressalvada a hipótese do art. 110;</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a conversão de cotas dar-se-á pelo valor da cota do dia na data de conversão, observadas, se for o caso, a forma de cálculo da cota do dia admitida pelo § 3º do art. 10;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o pagamento do resgate deverá ser efetuado em cheque, crédito em conta corrente ou ordem de pagamento, no prazo estabelecido no regulamento, que não poderá ser superior a </w:t>
      </w:r>
      <w:proofErr w:type="gramStart"/>
      <w:r>
        <w:rPr>
          <w:rFonts w:ascii="Times New Roman" w:hAnsi="Times New Roman"/>
        </w:rPr>
        <w:t>5</w:t>
      </w:r>
      <w:proofErr w:type="gramEnd"/>
      <w:r>
        <w:rPr>
          <w:rFonts w:ascii="Times New Roman" w:hAnsi="Times New Roman"/>
        </w:rPr>
        <w:t xml:space="preserve"> (cinco) dias úteis, contados da data da conversão de cotas, ressalvada a hipótese do inciso IV do art. 110;</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Incisos II e III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o regulamento poderá estabelecer prazo de carência para resgate, com ou sem rendimento;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salvo na hipótese de que trata o art. 16, será devida ao cotista uma multa de 0,5% (meio por cento) do valor de resgate, a ser paga pelo administrador do fundo, por dia de atraso no pagamento do resgate de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fundo cujo regulamento estabelecer data de conversão diversa da data de resgate, pagamento do resgate em data diversa do pedido de resgate ou prazo de carência para o resgate, deverá observar o disposto no parágrafo 3º do art. 40.</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16.  Em casos excepcionais de iliquidez dos ativos componentes da carteira do fundo, inclusive em decorrência de pedidos de resgates incompatíveis com a liquidez existente, ou que possam implicar alteração do tratamento tributário do fundo ou do conjunto dos cotistas, em prejuízo destes últimos, o administrador poderá declarar o fechamento do fundo para a realização de resgates, sendo obrigatória a convocação de </w:t>
      </w:r>
      <w:proofErr w:type="spellStart"/>
      <w:r>
        <w:rPr>
          <w:rFonts w:ascii="Times New Roman" w:hAnsi="Times New Roman"/>
          <w:strike/>
        </w:rPr>
        <w:t>Assembléia</w:t>
      </w:r>
      <w:proofErr w:type="spellEnd"/>
      <w:r>
        <w:rPr>
          <w:rFonts w:ascii="Times New Roman" w:hAnsi="Times New Roman"/>
          <w:strike/>
        </w:rPr>
        <w:t xml:space="preserve"> Geral Extraordinária, no prazo máximo de </w:t>
      </w:r>
      <w:proofErr w:type="gramStart"/>
      <w:r>
        <w:rPr>
          <w:rFonts w:ascii="Times New Roman" w:hAnsi="Times New Roman"/>
          <w:strike/>
        </w:rPr>
        <w:t>1</w:t>
      </w:r>
      <w:proofErr w:type="gramEnd"/>
      <w:r>
        <w:rPr>
          <w:rFonts w:ascii="Times New Roman" w:hAnsi="Times New Roman"/>
          <w:strike/>
        </w:rPr>
        <w:t xml:space="preserve"> (um) dia, para deliberar, no prazo de 15 (quinze) dias, a contar da data do fechamento para resgate, sobre as seguintes possibilidades: </w:t>
      </w:r>
    </w:p>
    <w:p w:rsidR="00B2445D" w:rsidRDefault="00B2445D" w:rsidP="00B2445D">
      <w:pPr>
        <w:pStyle w:val="NormalWeb"/>
        <w:ind w:firstLine="567"/>
        <w:jc w:val="both"/>
        <w:rPr>
          <w:szCs w:val="20"/>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16.  Em casos excepcionais de iliquidez dos ativos financeiros componentes da carteira do fundo, inclusive em decorrência de pedidos de resgates incompatíveis com a liquidez existente, ou que possam implicar alteração do tratamento tributário do fundo ou do conjunto dos cotistas, em prejuízo destes últimos, o administrador poderá declarar o fechamento do fundo para a realização de resgates, sendo obrigatória a convocação de Assembleia Geral Extraordinária, no prazo máximo de </w:t>
      </w:r>
      <w:proofErr w:type="gramStart"/>
      <w:r>
        <w:rPr>
          <w:rFonts w:ascii="Times New Roman" w:hAnsi="Times New Roman"/>
        </w:rPr>
        <w:t>1</w:t>
      </w:r>
      <w:proofErr w:type="gramEnd"/>
      <w:r>
        <w:rPr>
          <w:rFonts w:ascii="Times New Roman" w:hAnsi="Times New Roman"/>
        </w:rPr>
        <w:t xml:space="preserve"> (um) dia, para deliberar, no prazo de 15 (quinze) dias, a contar da data do fechamento para resgate, sobre as seguintes possibilidades: </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Caput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substituição do administrador, do gestor ou de ambos;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reabertura ou manutenção do fechamento do fundo para resgate;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possibilidade do pagamento de resgate em títulos e valores mobiliários;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possibilidade do pagamento de resgate em </w:t>
      </w:r>
      <w:bookmarkStart w:id="4" w:name="_DV_C11"/>
      <w:r>
        <w:rPr>
          <w:rFonts w:ascii="Times New Roman" w:hAnsi="Times New Roman"/>
        </w:rPr>
        <w:t>ativos financeiros</w:t>
      </w:r>
      <w:bookmarkStart w:id="5" w:name="_DV_M110"/>
      <w:bookmarkEnd w:id="4"/>
      <w:bookmarkEnd w:id="5"/>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Inciso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cisão do fundo;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liquidação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O administrador responderá aos cotistas remanescentes pelos prejuízos que lhes tenham sido causados em decorrência da não utilização dos poderes conferidos no caput deste artigo.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 xml:space="preserve">O administrador é responsável pela não utilização dos poderes conferidos no </w:t>
      </w:r>
      <w:r>
        <w:rPr>
          <w:rFonts w:ascii="Times New Roman" w:hAnsi="Times New Roman"/>
          <w:b/>
        </w:rPr>
        <w:t>caput</w:t>
      </w:r>
      <w:r>
        <w:rPr>
          <w:rFonts w:ascii="Times New Roman" w:hAnsi="Times New Roman"/>
        </w:rPr>
        <w:t xml:space="preserve"> deste artigo, caso sua omissão cause prejuízo aos cotistas remanescentes.</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§1º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fechamento do fundo para resgate deverá, em qualquer caso, ser imediatamente comunicado à CVM.</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A </w:t>
      </w:r>
      <w:proofErr w:type="spellStart"/>
      <w:r>
        <w:rPr>
          <w:rFonts w:ascii="Times New Roman" w:hAnsi="Times New Roman"/>
        </w:rPr>
        <w:t>assembléia</w:t>
      </w:r>
      <w:proofErr w:type="spellEnd"/>
      <w:r>
        <w:rPr>
          <w:rFonts w:ascii="Times New Roman" w:hAnsi="Times New Roman"/>
        </w:rPr>
        <w:t xml:space="preserve"> de que trata o caput deverá realizar-se mesmo que o administrador delibere reabrir o fundo antes da data marcada para sua realização.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4"/>
        </w:numPr>
        <w:ind w:left="0" w:firstLine="567"/>
        <w:jc w:val="both"/>
        <w:rPr>
          <w:rFonts w:ascii="Times New Roman" w:hAnsi="Times New Roman"/>
          <w:b/>
        </w:rPr>
      </w:pPr>
      <w:r>
        <w:rPr>
          <w:rFonts w:ascii="Times New Roman" w:hAnsi="Times New Roman"/>
          <w:b/>
        </w:rPr>
        <w:t>§3º</w:t>
      </w:r>
      <w:proofErr w:type="gramStart"/>
      <w:r>
        <w:rPr>
          <w:rFonts w:ascii="Times New Roman" w:hAnsi="Times New Roman"/>
          <w:b/>
        </w:rPr>
        <w:t xml:space="preserve">  </w:t>
      </w:r>
      <w:proofErr w:type="gramEnd"/>
      <w:r>
        <w:rPr>
          <w:rFonts w:ascii="Times New Roman" w:hAnsi="Times New Roman"/>
          <w:b/>
        </w:rPr>
        <w:t>acrescentado pela Instrução CVM nº 411, de 26 de novembro de 2004.</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§4º</w:t>
      </w:r>
      <w:proofErr w:type="gramStart"/>
      <w:r>
        <w:rPr>
          <w:rFonts w:ascii="Times New Roman" w:hAnsi="Times New Roman"/>
        </w:rPr>
        <w:t xml:space="preserve">  </w:t>
      </w:r>
      <w:proofErr w:type="gramEnd"/>
      <w:r>
        <w:rPr>
          <w:rFonts w:ascii="Times New Roman" w:hAnsi="Times New Roman"/>
        </w:rPr>
        <w:t xml:space="preserve">O administrador poderá solicitar à CVM autorização específica para proceder à cisão do fundo antes da reabertura para resgates, ficando neste caso vedadas novas aplicações no fundo resultante da cisão, e devendo, de qualquer modo, realizar-se a </w:t>
      </w:r>
      <w:proofErr w:type="spellStart"/>
      <w:r>
        <w:rPr>
          <w:rFonts w:ascii="Times New Roman" w:hAnsi="Times New Roman"/>
        </w:rPr>
        <w:t>assembléia</w:t>
      </w:r>
      <w:proofErr w:type="spellEnd"/>
      <w:r>
        <w:rPr>
          <w:rFonts w:ascii="Times New Roman" w:hAnsi="Times New Roman"/>
        </w:rPr>
        <w:t xml:space="preserve"> de que trata o caput. </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
        </w:numPr>
        <w:ind w:left="0" w:firstLine="567"/>
        <w:jc w:val="both"/>
        <w:rPr>
          <w:rFonts w:ascii="Times New Roman" w:hAnsi="Times New Roman"/>
          <w:b/>
        </w:rPr>
      </w:pPr>
      <w:r>
        <w:rPr>
          <w:rFonts w:ascii="Times New Roman" w:hAnsi="Times New Roman"/>
          <w:b/>
        </w:rPr>
        <w:t>§4º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5º</w:t>
      </w:r>
      <w:proofErr w:type="gramStart"/>
      <w:r>
        <w:rPr>
          <w:rFonts w:ascii="Times New Roman" w:hAnsi="Times New Roman"/>
          <w:strike/>
        </w:rPr>
        <w:t xml:space="preserve">  </w:t>
      </w:r>
      <w:proofErr w:type="gramEnd"/>
      <w:r>
        <w:rPr>
          <w:rFonts w:ascii="Times New Roman" w:hAnsi="Times New Roman"/>
          <w:strike/>
        </w:rPr>
        <w:t xml:space="preserve">Cabe ao administrador tomar as providências necessárias para que as hipóteses descritas no </w:t>
      </w:r>
      <w:r>
        <w:rPr>
          <w:rFonts w:ascii="Times New Roman" w:hAnsi="Times New Roman"/>
          <w:b/>
          <w:strike/>
        </w:rPr>
        <w:t>caput</w:t>
      </w:r>
      <w:r>
        <w:rPr>
          <w:rFonts w:ascii="Times New Roman" w:hAnsi="Times New Roman"/>
          <w:strike/>
        </w:rPr>
        <w:t xml:space="preserve"> não venham a ocorrer em decorrência da liquidação física de ativos do fundo, conforme previsto no inciso I do § 2º do art. 2º.</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5"/>
        </w:numPr>
        <w:ind w:left="0" w:firstLine="567"/>
        <w:jc w:val="both"/>
        <w:rPr>
          <w:rFonts w:ascii="Times New Roman" w:hAnsi="Times New Roman"/>
          <w:b/>
          <w:strike/>
        </w:rPr>
      </w:pPr>
      <w:r>
        <w:rPr>
          <w:rFonts w:ascii="Times New Roman" w:hAnsi="Times New Roman"/>
          <w:b/>
          <w:strike/>
        </w:rPr>
        <w:t>§5º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456, de 22 de junho de 2007. </w:t>
      </w:r>
    </w:p>
    <w:p w:rsidR="00B2445D" w:rsidRDefault="00B2445D" w:rsidP="00B2445D">
      <w:pPr>
        <w:pStyle w:val="NormalWeb"/>
        <w:ind w:firstLine="567"/>
        <w:jc w:val="both"/>
        <w:rPr>
          <w:rFonts w:ascii="Times New Roman" w:hAnsi="Times New Roman"/>
        </w:rPr>
      </w:pPr>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Cabe ao administrador tomar as providências necessárias para que as hipóteses descritas no caput não venham a ocorrer em decorrência da liquidação física de ativos financeiros do fundo, conforme previsto no inciso I do § 2º do art. 2º.</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§5º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17.  É facultado ao administrador suspender, a qualquer momento, novas aplicações no fundo, desde que tal suspensão se aplique indistintamente a novos investidores e cotistas atuais.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A suspensão do recebimento de novas aplicações em um dia não impede a reabertura posterior do fundo para aplicações.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administrador deve comunicar imediatamente aos intermediários sobre a eventual existência de fundos que não estejam admitindo captação.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§3º</w:t>
      </w:r>
      <w:proofErr w:type="gramStart"/>
      <w:r>
        <w:rPr>
          <w:rFonts w:ascii="Times New Roman" w:hAnsi="Times New Roman"/>
        </w:rPr>
        <w:t xml:space="preserve">  </w:t>
      </w:r>
      <w:proofErr w:type="gramEnd"/>
      <w:r>
        <w:rPr>
          <w:rFonts w:ascii="Times New Roman" w:hAnsi="Times New Roman"/>
        </w:rPr>
        <w:t>O fundo deve permanecer fechado para aplicações enquanto perdurar o período de suspensão de resgates.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
        </w:numPr>
        <w:ind w:left="0" w:firstLine="567"/>
        <w:jc w:val="both"/>
        <w:rPr>
          <w:rFonts w:ascii="Times New Roman" w:hAnsi="Times New Roman"/>
          <w:b/>
        </w:rPr>
      </w:pPr>
      <w:r>
        <w:rPr>
          <w:rFonts w:ascii="Times New Roman" w:hAnsi="Times New Roman"/>
          <w:b/>
        </w:rPr>
        <w:t>§3º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18.  O regulamento deverá prever as condições para recebimento de aplicações e resgates nos feriados estaduais e municipais.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III</w:t>
      </w:r>
    </w:p>
    <w:p w:rsidR="00B2445D" w:rsidRDefault="00B2445D" w:rsidP="00B2445D">
      <w:pPr>
        <w:pStyle w:val="NormalWeb"/>
        <w:ind w:firstLine="567"/>
        <w:jc w:val="center"/>
        <w:rPr>
          <w:rFonts w:ascii="Times New Roman" w:hAnsi="Times New Roman"/>
          <w:b/>
        </w:rPr>
      </w:pPr>
      <w:r>
        <w:rPr>
          <w:rFonts w:ascii="Times New Roman" w:hAnsi="Times New Roman"/>
          <w:b/>
        </w:rPr>
        <w:t>DA SUBSCRIÇÃO E DISTRIBUIÇÃO DE COTAS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Do Registro de Distribuição de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Art.19.  A distribuição de cotas de fundo aberto independe de prévio registro na CVM e será realizada por instituições intermediárias integrantes do sistema de distribuição de valores mobiliários.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20.  A distribuição de cotas de fundo fechado depende de prévio registro na CVM, na forma da Seção II deste Capítulo, e somente poderá ser realizada por instituições integrantes do sistema de distribuição de valores mobiliários.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21.  O administrador é obrigado a fornecer aos intermediários contratados todo o material de divulgação do fundo exigido pela regulamentação em vigor, respondendo pela exatidão das informações contidas no referido material.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administrador de fundo de investimento é obrigado a informar aos intermediários contratados qualquer alteração que ocorra no fundo, especialmente se decorrente da mudança do regulamento, ocasião em que o administrador substituirá imediatamente o material de divulgação em poder dos intermediários contratados.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Do Registro de Distribuição de Cotas de Fundos Fechados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22.  A distribuição de cotas de fundo fechado que não seja destinado exclusivamente a investidores qualificados deverá ser precedida de registro de oferta pública de distribuição nos termos da Instrução CVM n.º 400, de 29 de dezembro de 2003.</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23.  O registro de distribuição de cotas de fundo fechado destinado exclusivamente a investidores qualificados dependerá do envio dos documentos previstos no art. 24, através do Sistema de Envio de Documentos disponível na página da CVM na rede mundial de computadores, e considerar-se-á automaticamente concedido na data constante do respectivo protocolo de envio.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24.  O pedido de registro para distribuição de cotas de fundo fechado destinado exclusivamente a investidores qualificados deve ser acompanhado: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do material de divulgação a ser utilizado durante a distribuição das cotas;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da informação quanto ao número máximo e mínimo de cotas a serem distribuídas, o valor da emissão e outras informações relevantes sobre a distribuição;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III – da informação quanto à data de início e encerramento da distribuição;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de declaração do administrador de que foi firmado o contrato de distribuição com instituição integrante do sistema de distribuição e de que o mesmo se encontra à disposição da CVM, quando for o caso;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do prospecto, se houver.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Nas distribuições </w:t>
      </w:r>
      <w:proofErr w:type="spellStart"/>
      <w:r>
        <w:rPr>
          <w:rFonts w:ascii="Times New Roman" w:hAnsi="Times New Roman"/>
        </w:rPr>
        <w:t>subseqüentes</w:t>
      </w:r>
      <w:proofErr w:type="spellEnd"/>
      <w:r>
        <w:rPr>
          <w:rFonts w:ascii="Times New Roman" w:hAnsi="Times New Roman"/>
        </w:rPr>
        <w:t xml:space="preserve"> à distribuição inicial deverão ser enviadas aos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uma comunicação de início da distribuição, com antecedência mínima de 10 (dez) dias;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uma comunicação de encerramento da distribuição, até 10 (dez) dias após tal encerramento, esclarecendo o resultado da distribuição.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administrador deverá manter em sua posse, pelo prazo de 5 (cinco) anos, os comprovantes de envio de ambas as comunicações referidas no parágrafo anterior, à disposição da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25.  O administrador deverá encaminhar, através do Sistema de Envio de Documentos disponível na página da CVM na rede mundial de computadores, a lista de subscrição de cotas de fundo fechado, no prazo de dois dias úteis após o encerramento da subscrição de cotas.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26.  Não será admitida nova distribuição de cotas do fundo antes de subscrita a distribuição anterior.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27.  A subscrição das cotas do fundo fechado deve ser encerrada no prazo máximo de 180 (cento e oitenta dias), a contar da data do início de distribuição.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Na hipótese de o administrador decidir alterar, durante o processo de distribuição de cotas, alguma das condições previamente divulgadas, a distribuição deve ser suspensa, de forma a ser obtida a concordância dos subscritores com relação às novas condições.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Aos cotistas que dissentirem das alterações procedidas será assegurado direito de obter a devolução do valor integralizado, acrescido proporcionalmente dos rendimentos auferidos pelas aplicações do fundo, líquidos de encargos e tributos.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 xml:space="preserve">Uma vez observado o disposto nos parágrafos anteriores, inclusive com a efetiva restituição dos valores aos cotistas dissidentes, deverá ser realizada, previamente ao reinicio da distribuição, a correção do prospecto e dos demais documentos e informações, a partir do qual será contado novo prazo de 180 (cento e oitenta) dias para a colocação das cotas.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28.  As importâncias recebidas na integralização de cotas, durante o processo de distribuição de cotas de fundo fechado, devem ser depositadas em banco comercial, banco múltiplo com carteira comercial ou Caixa Econômica em nome do fundo, sendo obrigatória sua imediata aplicação em títulos públicos federais ou em cotas de fundo de investimento classificado em conformidade com o disposto no art. 93.</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Durante o período de distribuição, o administrador deve remeter mensalmente demonstrativo das aplicações da carteira, através do Sistema de Envio de Documentos disponível na página da CVM na rede mundial de computadores, no prazo máximo de 15 (quinze) dias contados do encerramento do mês.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§1º</w:t>
      </w:r>
      <w:proofErr w:type="gramStart"/>
      <w:r>
        <w:rPr>
          <w:rFonts w:ascii="Times New Roman" w:hAnsi="Times New Roman"/>
        </w:rPr>
        <w:t xml:space="preserve">  </w:t>
      </w:r>
      <w:proofErr w:type="gramEnd"/>
      <w:r>
        <w:rPr>
          <w:rFonts w:ascii="Times New Roman" w:hAnsi="Times New Roman"/>
        </w:rPr>
        <w:t>Durante o período de distribuição, o administrador deve remeter mensalmente demonstrativo das aplicações da carteira, através do Sistema de Envio de Documentos disponível na página da CVM na rede mundial de computadores, no prazo máximo de 10 (dez) dias contados do encerramento do mês.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7"/>
        </w:numPr>
        <w:ind w:left="0" w:firstLine="567"/>
        <w:jc w:val="both"/>
        <w:rPr>
          <w:rFonts w:ascii="Times New Roman" w:hAnsi="Times New Roman"/>
          <w:b/>
        </w:rPr>
      </w:pPr>
      <w:r>
        <w:rPr>
          <w:rFonts w:ascii="Times New Roman" w:hAnsi="Times New Roman"/>
          <w:b/>
        </w:rPr>
        <w:t>§1º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No caso de fundo já em funcionamento, os valores relativos à nova distribuição de cotas devem ser escriturados separadamente das demais aplicações do fundo, até o encerramento da distribuição.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A </w:t>
      </w:r>
      <w:proofErr w:type="spellStart"/>
      <w:r>
        <w:rPr>
          <w:rFonts w:ascii="Times New Roman" w:hAnsi="Times New Roman"/>
        </w:rPr>
        <w:t>assembléia</w:t>
      </w:r>
      <w:proofErr w:type="spellEnd"/>
      <w:r>
        <w:rPr>
          <w:rFonts w:ascii="Times New Roman" w:hAnsi="Times New Roman"/>
        </w:rPr>
        <w:t xml:space="preserve"> de cotistas que deliberar a distribuição de novas cotas do fundo fechado poderá dispor sobre o número mínimo de cotas que devam obrigatoriamente ser subscritas para que a distribuição seja mantida, e o tratamento a ser dado no caso de não haver a subscrição total das cotas previstas.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 xml:space="preserve">Na hipótese do parágrafo anterior, caso o número mínimo de cotas previsto não seja subscrito no prazo de 180 (cento e oitenta) dias, prorrogável por igual período conforme o disposto no art. 9º, contados da data de concessão do registro, os valores integralizados deverão ser imediatamente restituídos aos subscritores, acrescidos proporcionalmente dos rendimentos auferidos pelas aplicações do fundo, líquidos de encargos e tributos.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 xml:space="preserve">Caso não tenha havido distribuição total das cotas previstas e a deliberação da </w:t>
      </w:r>
      <w:proofErr w:type="spellStart"/>
      <w:r>
        <w:rPr>
          <w:rFonts w:ascii="Times New Roman" w:hAnsi="Times New Roman"/>
        </w:rPr>
        <w:t>assembléia</w:t>
      </w:r>
      <w:proofErr w:type="spellEnd"/>
      <w:r>
        <w:rPr>
          <w:rFonts w:ascii="Times New Roman" w:hAnsi="Times New Roman"/>
        </w:rPr>
        <w:t xml:space="preserve"> de cotistas não tenha fixado um número mínimo de cotas a serem subscritas, o subscritor das cotas poderá optar entre permanecer no fundo ou receber a devolução do valor integralizado, acrescido proporcionalmente dos rendimentos auferidos pelas aplicações do fundo, líquidos de encargos e tributos.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29.  O material de divulgação de distribuição de cotas do fundo fechado deve conter pelo menos as seguintes informações: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nome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nome e endereço do administrador e gestor</w:t>
      </w:r>
      <w:proofErr w:type="gramStart"/>
      <w:r>
        <w:rPr>
          <w:rFonts w:ascii="Times New Roman" w:hAnsi="Times New Roman"/>
        </w:rPr>
        <w:t>, se houver</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nome e endereço das instituições responsáveis pela distribuição;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política de investimento, público alvo e principais características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mercado onde as cotas do fundo são negociadas;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condições de subscrição e integralização;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data do início e encerramento da distribuição;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esclarecimento de que maiores informações e as cópias do prospecto e do regulamento podem ser obtidas nas instituições responsáveis pela distribuição de cotas ou na página da CVM na rede mundial de computadores;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IX – os dizeres, de forma destacada: "A concessão do registro da presente distribuição não implica, por parte da CVM, garantia de veracidade das informações prestadas ou julgamento sobre a qualidade do fundo, de seu administrador ou das cotas a serem distribuídas". </w:t>
      </w:r>
    </w:p>
    <w:p w:rsidR="00B2445D" w:rsidRDefault="00B2445D" w:rsidP="00B2445D">
      <w:pPr>
        <w:pStyle w:val="NormalWeb"/>
        <w:ind w:firstLine="567"/>
        <w:jc w:val="both"/>
        <w:rPr>
          <w:rFonts w:ascii="Times New Roman" w:hAnsi="Times New Roman"/>
          <w:highlight w:val="yellow"/>
        </w:rPr>
      </w:pPr>
    </w:p>
    <w:p w:rsidR="00B2445D" w:rsidRDefault="00B2445D" w:rsidP="00B2445D">
      <w:pPr>
        <w:pStyle w:val="NormalWeb"/>
        <w:ind w:firstLine="567"/>
        <w:jc w:val="center"/>
        <w:rPr>
          <w:rFonts w:ascii="Times New Roman" w:hAnsi="Times New Roman"/>
          <w:strike/>
        </w:rPr>
      </w:pPr>
      <w:r>
        <w:rPr>
          <w:rFonts w:ascii="Times New Roman" w:hAnsi="Times New Roman"/>
          <w:strike/>
        </w:rPr>
        <w:lastRenderedPageBreak/>
        <w:t>Seção III</w:t>
      </w:r>
    </w:p>
    <w:p w:rsidR="00B2445D" w:rsidRDefault="00B2445D" w:rsidP="00B2445D">
      <w:pPr>
        <w:pStyle w:val="NormalWeb"/>
        <w:ind w:firstLine="567"/>
        <w:jc w:val="center"/>
        <w:rPr>
          <w:rFonts w:ascii="Times New Roman" w:hAnsi="Times New Roman"/>
          <w:strike/>
        </w:rPr>
      </w:pPr>
      <w:r>
        <w:rPr>
          <w:rFonts w:ascii="Times New Roman" w:hAnsi="Times New Roman"/>
          <w:strike/>
        </w:rPr>
        <w:t>Da Subscrição ou Aquisição de Cotas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r>
        <w:rPr>
          <w:rFonts w:ascii="Times New Roman" w:hAnsi="Times New Roman"/>
        </w:rPr>
        <w:t>Da Subscrição de Cotas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Seção III renomeada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30.  Todo cotista ao ingressar no fundo deve atestar, mediante termo próprio, que: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recebeu o regulamento e, se for o caso, o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6" w:name="_DV_C13"/>
      <w:r>
        <w:rPr>
          <w:rFonts w:ascii="Times New Roman" w:hAnsi="Times New Roman"/>
        </w:rPr>
        <w:t>I – recebeu:</w:t>
      </w:r>
      <w:bookmarkEnd w:id="6"/>
    </w:p>
    <w:p w:rsidR="00B2445D" w:rsidRDefault="00B2445D" w:rsidP="00B2445D">
      <w:pPr>
        <w:pStyle w:val="NormalWeb"/>
        <w:ind w:firstLine="567"/>
        <w:jc w:val="both"/>
        <w:rPr>
          <w:rFonts w:ascii="Times New Roman" w:hAnsi="Times New Roman"/>
        </w:rPr>
      </w:pPr>
      <w:bookmarkStart w:id="7" w:name="_DV_C14"/>
    </w:p>
    <w:p w:rsidR="00B2445D" w:rsidRDefault="00B2445D" w:rsidP="00B2445D">
      <w:pPr>
        <w:pStyle w:val="NormalWeb"/>
        <w:numPr>
          <w:ilvl w:val="0"/>
          <w:numId w:val="8"/>
        </w:numPr>
        <w:jc w:val="both"/>
        <w:rPr>
          <w:rFonts w:ascii="Times New Roman" w:hAnsi="Times New Roman"/>
        </w:rPr>
      </w:pPr>
      <w:bookmarkStart w:id="8" w:name="_DV_C15"/>
      <w:bookmarkEnd w:id="7"/>
      <w:proofErr w:type="gramStart"/>
      <w:r>
        <w:rPr>
          <w:rFonts w:ascii="Times New Roman" w:hAnsi="Times New Roman"/>
        </w:rPr>
        <w:t>o</w:t>
      </w:r>
      <w:proofErr w:type="gramEnd"/>
      <w:r>
        <w:rPr>
          <w:rFonts w:ascii="Times New Roman" w:hAnsi="Times New Roman"/>
        </w:rPr>
        <w:t xml:space="preserve"> regulamento; e</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8"/>
        </w:numPr>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lâmina, se houver</w:t>
      </w:r>
      <w:bookmarkEnd w:id="8"/>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tomou ciência dos riscos envolvidos e da política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tomou ciência da possibilidade de ocorrência de patrimônio líquido negativo, se for o caso, e, neste caso, de sua responsabilidade por </w:t>
      </w:r>
      <w:proofErr w:type="spellStart"/>
      <w:r>
        <w:rPr>
          <w:rFonts w:ascii="Times New Roman" w:hAnsi="Times New Roman"/>
        </w:rPr>
        <w:t>conseqüentes</w:t>
      </w:r>
      <w:proofErr w:type="spellEnd"/>
      <w:r>
        <w:rPr>
          <w:rFonts w:ascii="Times New Roman" w:hAnsi="Times New Roman"/>
        </w:rPr>
        <w:t xml:space="preserve"> aportes adicionais de recursos.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O administrador deve manter à disposição da CVM o termo contendo as declarações referidas no caput deste artigo, devidamente assinado pelo investidor, ou registrado em sistema eletrônico que garanta o atendimento ao disposto no caput.</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No caso de distribuição de cotas realizada na forma da Seção IV deste Capítulo, cabe ao intermediário que atuar por conta e ordem dos cotistas providenciar o cumprimento do disposto no caput e no § 1º deste artigo.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2º</w:t>
      </w:r>
      <w:proofErr w:type="gramStart"/>
      <w:r>
        <w:rPr>
          <w:rFonts w:ascii="Times New Roman" w:hAnsi="Times New Roman"/>
          <w:strike/>
        </w:rPr>
        <w:t xml:space="preserve">  </w:t>
      </w:r>
      <w:proofErr w:type="gramEnd"/>
      <w:r>
        <w:rPr>
          <w:rFonts w:ascii="Times New Roman" w:hAnsi="Times New Roman"/>
          <w:strike/>
        </w:rPr>
        <w:t xml:space="preserve">O regulamento e, se for o caso, o prospecto deverão ser entregues pelo administrador em suas versões vigentes e atualizadas. </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7"/>
        </w:numPr>
        <w:ind w:left="0" w:firstLine="567"/>
        <w:jc w:val="both"/>
        <w:rPr>
          <w:rFonts w:ascii="Times New Roman" w:hAnsi="Times New Roman"/>
          <w:b/>
          <w:strike/>
        </w:rPr>
      </w:pPr>
      <w:r>
        <w:rPr>
          <w:rFonts w:ascii="Times New Roman" w:hAnsi="Times New Roman"/>
          <w:b/>
          <w:strike/>
        </w:rPr>
        <w:t xml:space="preserve">§2º com redação dada pela Instrução CVM nº 450, 30 de março de </w:t>
      </w:r>
      <w:proofErr w:type="gramStart"/>
      <w:r>
        <w:rPr>
          <w:rFonts w:ascii="Times New Roman" w:hAnsi="Times New Roman"/>
          <w:b/>
          <w:strike/>
        </w:rPr>
        <w:t>2007</w:t>
      </w:r>
      <w:proofErr w:type="gramEnd"/>
      <w:r>
        <w:rPr>
          <w:rFonts w:ascii="Times New Roman" w:hAnsi="Times New Roman"/>
          <w:b/>
          <w:strike/>
        </w:rPr>
        <w:t xml:space="preserve"> </w:t>
      </w:r>
    </w:p>
    <w:p w:rsidR="00B2445D" w:rsidRDefault="00B2445D" w:rsidP="00B2445D">
      <w:pPr>
        <w:pStyle w:val="NormalWeb"/>
        <w:ind w:left="92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administrador deve entregar ao cotista versões vigente do regulamento e atualizada da lâmina.</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3º</w:t>
      </w:r>
      <w:proofErr w:type="gramStart"/>
      <w:r>
        <w:rPr>
          <w:rFonts w:ascii="Times New Roman" w:hAnsi="Times New Roman"/>
        </w:rPr>
        <w:t xml:space="preserve">  </w:t>
      </w:r>
      <w:proofErr w:type="gramEnd"/>
      <w:r>
        <w:rPr>
          <w:rFonts w:ascii="Times New Roman" w:hAnsi="Times New Roman"/>
        </w:rPr>
        <w:t>O administrador deve disponibilizar aos cotistas versão atualizada do prospecto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§3º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31.  O administrador deverá informar a data da primeira integralização de cotas do fundo através do Sistema de Envio de Documentos disponível na página da CVM na rede mundial de computadores, no prazo de dois dias úteis.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32.  Sem prejuízo de eventuais sanções, a CVM poderá suspender a emissão, subscrição e distribuição de cotas de fundo realizadas em desacordo com a presente Instrução.</w:t>
      </w:r>
    </w:p>
    <w:p w:rsidR="00B2445D" w:rsidRDefault="00B2445D" w:rsidP="00B2445D">
      <w:pPr>
        <w:pStyle w:val="NormalWeb"/>
        <w:ind w:firstLine="567"/>
        <w:jc w:val="both"/>
        <w:rPr>
          <w:rFonts w:ascii="Times New Roman" w:hAnsi="Times New Roman"/>
          <w:highlight w:val="yellow"/>
        </w:rPr>
      </w:pPr>
    </w:p>
    <w:p w:rsidR="00B2445D" w:rsidRDefault="00B2445D" w:rsidP="00B2445D">
      <w:pPr>
        <w:pStyle w:val="NormalWeb"/>
        <w:ind w:firstLine="567"/>
        <w:jc w:val="center"/>
        <w:rPr>
          <w:rFonts w:ascii="Times New Roman" w:hAnsi="Times New Roman"/>
          <w:strike/>
          <w:color w:val="auto"/>
        </w:rPr>
      </w:pPr>
    </w:p>
    <w:p w:rsidR="00B2445D" w:rsidRDefault="00B2445D" w:rsidP="00B2445D">
      <w:pPr>
        <w:pStyle w:val="NormalWeb"/>
        <w:ind w:firstLine="567"/>
        <w:jc w:val="center"/>
        <w:rPr>
          <w:rFonts w:ascii="Times New Roman" w:hAnsi="Times New Roman"/>
          <w:strike/>
          <w:color w:val="auto"/>
        </w:rPr>
      </w:pPr>
    </w:p>
    <w:p w:rsidR="00B2445D" w:rsidRDefault="00B2445D" w:rsidP="00B2445D">
      <w:pPr>
        <w:pStyle w:val="NormalWeb"/>
        <w:ind w:firstLine="567"/>
        <w:jc w:val="center"/>
        <w:rPr>
          <w:rFonts w:ascii="Times New Roman" w:hAnsi="Times New Roman"/>
          <w:strike/>
          <w:color w:val="auto"/>
        </w:rPr>
      </w:pPr>
      <w:r>
        <w:rPr>
          <w:rFonts w:ascii="Times New Roman" w:hAnsi="Times New Roman"/>
          <w:strike/>
          <w:color w:val="auto"/>
        </w:rPr>
        <w:t>Seção IV</w:t>
      </w:r>
    </w:p>
    <w:p w:rsidR="00B2445D" w:rsidRDefault="00B2445D" w:rsidP="00B2445D">
      <w:pPr>
        <w:pStyle w:val="NormalWeb"/>
        <w:ind w:firstLine="567"/>
        <w:jc w:val="center"/>
        <w:rPr>
          <w:rFonts w:ascii="Times New Roman" w:hAnsi="Times New Roman"/>
          <w:strike/>
          <w:color w:val="auto"/>
        </w:rPr>
      </w:pPr>
      <w:r>
        <w:rPr>
          <w:rFonts w:ascii="Times New Roman" w:hAnsi="Times New Roman"/>
          <w:strike/>
          <w:color w:val="auto"/>
        </w:rPr>
        <w:t>Da Subscrição ou Aquisição de Cotas por Conta e Ordem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w:t>
      </w:r>
    </w:p>
    <w:p w:rsidR="00B2445D" w:rsidRDefault="00B2445D" w:rsidP="00B2445D">
      <w:pPr>
        <w:pStyle w:val="NormalWeb"/>
        <w:ind w:firstLine="567"/>
        <w:jc w:val="center"/>
        <w:rPr>
          <w:rFonts w:ascii="Times New Roman" w:hAnsi="Times New Roman"/>
        </w:rPr>
      </w:pPr>
      <w:r>
        <w:rPr>
          <w:rFonts w:ascii="Times New Roman" w:hAnsi="Times New Roman"/>
        </w:rPr>
        <w:t>Da Subscrição de Cotas por Conta e Ordem</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Seção IV renomeada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33.  O fundo de investimento poderá contratar, por escrito, instituições intermediárias integrantes do sistema de distribuição de valores mobiliários para realizar a distribuição de cotas, </w:t>
      </w:r>
      <w:r>
        <w:rPr>
          <w:rFonts w:ascii="Times New Roman" w:hAnsi="Times New Roman"/>
          <w:strike/>
        </w:rPr>
        <w:lastRenderedPageBreak/>
        <w:t>autorizando-as a realizar a subscrição ou a aquisição de cotas do fundo por conta e ordem de seus respectivos clientes.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33.  O fundo de investimento poderá contratar, por escrito, instituições intermediárias integrantes do sistema de distribuição de valores mobiliários para realizar a distribuição de cotas, autorizando-as a realizar a subscrição de cotas do fundo por conta e ordem de seus respectivos clientes. </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Art. 33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34.  Para a adoção do procedimento de que trata esta seção, o administrador e a instituição intermediária deverão estabelecer, por escrito, a obrigação desta última de criar registro complementar de cotistas, específico para cada fundo em que ocorra tal modalidade de subscrição ou aquisição de cotas, de forma que: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34.  Para a adoção do procedimento de que trata esta seção, o administrador e a instituição intermediária deverão estabelecer, por escrito, a obrigação desta última de criar registro complementar de cotistas, específico para cada fundo em que ocorra tal modalidade de subscrição de cotas, de forma que:</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Caput do art. 34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 instituição intermediária inscreva no registro complementar de cotistas a titularidade das cotas em nome dos investidores, atribuindo a cada cotista um código de cliente e informando tal código ao administrador do fundo;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 – o administrador, ou instituição contratada, escriture as cotas de forma especial no registro de cotistas do fundo, adotando, na identificação do titular, o nome da instituição intermediária, acrescido do código de cliente fornecido pela instituição intermediária, e que identifica o cotista no registro complementar.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35.  As aplicações ou resgates realizados nos fundos de investimento por meio de instituições intermediárias que estejam atuando por conta e </w:t>
      </w:r>
      <w:proofErr w:type="gramStart"/>
      <w:r>
        <w:rPr>
          <w:rFonts w:ascii="Times New Roman" w:hAnsi="Times New Roman"/>
        </w:rPr>
        <w:t>ordem de clientes serão</w:t>
      </w:r>
      <w:proofErr w:type="gramEnd"/>
      <w:r>
        <w:rPr>
          <w:rFonts w:ascii="Times New Roman" w:hAnsi="Times New Roman"/>
        </w:rPr>
        <w:t xml:space="preserve"> efetuadas de forma segregada, de modo que os bens e direitos integrantes do patrimônio de cada um dos clientes, bem como seus frutos e rendimentos, não se comuniquem com o patrimônio da instituição intermediária.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Os bens e direitos de clientes das instituições intermediárias não respondem direta ou indiretamente por nenhuma obrigação contraída por tais instituições, sendo-lhes vedada a constituição, em proveito próprio, de ônus reais ou de direitos reais de garantia em favor de terceiros sobre as cotas dos fundos.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36.  As instituições intermediárias que estejam atuando por conta e ordem de clientes assumem todos os ônus e responsabilidades relacionadas aos clientes, inclusive quanto a seu cadastramento, identificação e demais procedimentos que, na forma desta Instrução, caberiam originalmente ao administrador, em especial no que se refere: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ao fornecimento aos clientes de prospectos, regulamentos e termos de adesão, a serem obrigatoriamente encaminhados pelos administradores aos intermediários, para tal finalidade;</w:t>
      </w:r>
    </w:p>
    <w:p w:rsidR="00B2445D" w:rsidRDefault="00B2445D" w:rsidP="00B2445D">
      <w:pPr>
        <w:pStyle w:val="NormalWeb"/>
        <w:ind w:firstLine="567"/>
        <w:jc w:val="both"/>
        <w:rPr>
          <w:rFonts w:ascii="Times New Roman" w:hAnsi="Times New Roman"/>
        </w:rPr>
      </w:pPr>
      <w:r>
        <w:rPr>
          <w:rFonts w:ascii="Times New Roman" w:hAnsi="Times New Roman"/>
        </w:rPr>
        <w:t xml:space="preserve">I – ao fornecimento aos clientes de </w:t>
      </w:r>
      <w:bookmarkStart w:id="9" w:name="_DV_C21"/>
      <w:r>
        <w:rPr>
          <w:rFonts w:ascii="Times New Roman" w:hAnsi="Times New Roman"/>
        </w:rPr>
        <w:t>lâminas</w:t>
      </w:r>
      <w:bookmarkStart w:id="10" w:name="_DV_M194"/>
      <w:bookmarkEnd w:id="9"/>
      <w:bookmarkEnd w:id="10"/>
      <w:r>
        <w:rPr>
          <w:rFonts w:ascii="Times New Roman" w:hAnsi="Times New Roman"/>
        </w:rPr>
        <w:t>, regulamentos</w:t>
      </w:r>
      <w:bookmarkStart w:id="11" w:name="_DV_M195"/>
      <w:bookmarkEnd w:id="11"/>
      <w:r>
        <w:rPr>
          <w:rFonts w:ascii="Times New Roman" w:hAnsi="Times New Roman"/>
        </w:rPr>
        <w:t xml:space="preserve"> e termos de adesão, a serem obrigatoriamente encaminhados pelos administradores aos intermediários, para tal finalidade;</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 – à responsabilidade de dar ciência ao cotista de que a distribuição é feita por conta e ordem;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à obrigação de dar ciência aos clientes de quaisquer exigências formuladas pela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ao controle e à manutenção de registros internos referentes à compatibilidade entre as movimentações dos recursos dos clientes, e sua capacidade financeira e atividades econômicas, nos termos das normas de proteção e combate à lavagem de dinheiro ou ocultação de bens, direitos e valores;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à regularidade e guarda da documentação cadastral dos clientes, nos estritos termos da regulamentação em vigor, bem como pelo cumprimento de todas as exigências legais quanto à referida documentação cadastral;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à prestação de informação diretamente à CVM sobre os dados cadastrais dos clientes que aplicarem nos fundos, quando esta informação for solicitada;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à comunicação aos clientes sobre a convocação de </w:t>
      </w:r>
      <w:proofErr w:type="spellStart"/>
      <w:r>
        <w:rPr>
          <w:rFonts w:ascii="Times New Roman" w:hAnsi="Times New Roman"/>
        </w:rPr>
        <w:t>assembléias</w:t>
      </w:r>
      <w:proofErr w:type="spellEnd"/>
      <w:r>
        <w:rPr>
          <w:rFonts w:ascii="Times New Roman" w:hAnsi="Times New Roman"/>
        </w:rPr>
        <w:t xml:space="preserve"> gerais de cotistas e sobre suas deliberações, de acordo com as instruções e informações que, com antecedência suficiente e tempestivamente, receber dos administradores dos fundos de investimento, observado o disposto no art. 37;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VIII – à manutenção de serviço de atendimento aos seus clientes, para esclarecimento de dúvidas e pelo recebimento de reclamações;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IX – ao zelo para que o investidor final tenha pleno acesso a todos os documentos e informações previstos nesta Instrução, em igualdade de condições com os demais cotistas do fundo de investimento objeto da aplicação;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à manutenção de informações atualizadas que permitam a identificação, a qualquer tempo, de cada um dos investidores finais, bem como do registro atualizado de todas as aplicações e resgates realizados em nome de cada um dos investidores finais;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 – à obrigação de efetuar a retenção e o recolhimento dos tributos incidentes nas aplicações ou resgates em fundos de investimento, conforme determinar a legislação tributária.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A documentação referida no inciso X deve permanecer na posse da instituição que esteja atuando por conta e ordem de clientes, à disposição da CVM, pelo prazo de </w:t>
      </w:r>
      <w:proofErr w:type="gramStart"/>
      <w:r>
        <w:rPr>
          <w:rFonts w:ascii="Times New Roman" w:hAnsi="Times New Roman"/>
        </w:rPr>
        <w:t>5</w:t>
      </w:r>
      <w:proofErr w:type="gramEnd"/>
      <w:r>
        <w:rPr>
          <w:rFonts w:ascii="Times New Roman" w:hAnsi="Times New Roman"/>
        </w:rPr>
        <w:t xml:space="preserve"> (cinco) anos.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37.  Previamente à realização das </w:t>
      </w:r>
      <w:proofErr w:type="spellStart"/>
      <w:r>
        <w:rPr>
          <w:rFonts w:ascii="Times New Roman" w:hAnsi="Times New Roman"/>
        </w:rPr>
        <w:t>assembléias</w:t>
      </w:r>
      <w:proofErr w:type="spellEnd"/>
      <w:r>
        <w:rPr>
          <w:rFonts w:ascii="Times New Roman" w:hAnsi="Times New Roman"/>
        </w:rPr>
        <w:t xml:space="preserve"> gerais de cotistas, o intermediário que esteja atuando por conta e ordem de clientes deve fornecer aos clientes que assim desejarem declaração da quantidade de cotas por eles detidas, indicando o fundo, nome ou denominação social do cliente, o código do cliente e o número da sua inscrição no Cadastro de Pessoas Físicas – CPF ou no Cadastro Nacional da Pessoa Jurídica, ambos do Ministério da Fazenda, conforme o caso, constituindo tal documento prova hábil da titularidade das cotas, para o fim de exercício do direito de voto.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intermediário que esteja atuando por conta e ordem de clientes pode comparecer e votar nas </w:t>
      </w:r>
      <w:proofErr w:type="spellStart"/>
      <w:r>
        <w:rPr>
          <w:rFonts w:ascii="Times New Roman" w:hAnsi="Times New Roman"/>
        </w:rPr>
        <w:t>assembléias</w:t>
      </w:r>
      <w:proofErr w:type="spellEnd"/>
      <w:r>
        <w:rPr>
          <w:rFonts w:ascii="Times New Roman" w:hAnsi="Times New Roman"/>
        </w:rPr>
        <w:t xml:space="preserve"> gerais de cotistas dos fundos, representando os interesses de seus clientes, desde que munido de procuração com poderes específicos, discriminando inclusive o dia, hora e local da referida </w:t>
      </w:r>
      <w:proofErr w:type="spellStart"/>
      <w:r>
        <w:rPr>
          <w:rFonts w:ascii="Times New Roman" w:hAnsi="Times New Roman"/>
        </w:rPr>
        <w:t>assembléia</w:t>
      </w:r>
      <w:proofErr w:type="spell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38.  Na hipótese de rescisão do contrato firmado entre o fundo e o intermediário que esteja atuando por conta e ordem de clientes, deve ser facultado ao cotista permanecer como investidor no fundo, comprometendo-se a instituição intermediária, neste caso, a identificar e fornecer ao administrador toda a documentação cadastral do cliente.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IV-A</w:t>
      </w:r>
    </w:p>
    <w:p w:rsidR="00B2445D" w:rsidRDefault="00B2445D" w:rsidP="00B2445D">
      <w:pPr>
        <w:pStyle w:val="NormalWeb"/>
        <w:ind w:firstLine="567"/>
        <w:jc w:val="center"/>
        <w:rPr>
          <w:rFonts w:ascii="Times New Roman" w:hAnsi="Times New Roman"/>
        </w:rPr>
      </w:pPr>
      <w:bookmarkStart w:id="12" w:name="_DV_C24"/>
      <w:r>
        <w:rPr>
          <w:rFonts w:ascii="Times New Roman" w:hAnsi="Times New Roman"/>
        </w:rPr>
        <w:t>Regras Gerais Sobre Divulgação de Informação</w:t>
      </w:r>
      <w:bookmarkEnd w:id="12"/>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Seção IV-A incluída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rPr>
      </w:pPr>
      <w:bookmarkStart w:id="13" w:name="_DV_C25"/>
      <w:r>
        <w:rPr>
          <w:rFonts w:ascii="Times New Roman" w:hAnsi="Times New Roman"/>
        </w:rPr>
        <w:t>Art. 38-A.</w:t>
      </w:r>
      <w:proofErr w:type="gramStart"/>
      <w:r>
        <w:rPr>
          <w:rFonts w:ascii="Times New Roman" w:hAnsi="Times New Roman"/>
        </w:rPr>
        <w:t xml:space="preserve">  </w:t>
      </w:r>
      <w:proofErr w:type="gramEnd"/>
      <w:r>
        <w:rPr>
          <w:rFonts w:ascii="Times New Roman" w:hAnsi="Times New Roman"/>
        </w:rPr>
        <w:t>As informações divulgadas pelo administrador relativas ao fundo devem ser verdadeiras, completas, consistentes e não induzir o investidor a erro.</w:t>
      </w:r>
      <w:bookmarkEnd w:id="13"/>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4" w:name="_DV_C26"/>
      <w:r>
        <w:rPr>
          <w:rFonts w:ascii="Times New Roman" w:hAnsi="Times New Roman"/>
        </w:rPr>
        <w:t>Art. 38-B.</w:t>
      </w:r>
      <w:proofErr w:type="gramStart"/>
      <w:r>
        <w:rPr>
          <w:rFonts w:ascii="Times New Roman" w:hAnsi="Times New Roman"/>
        </w:rPr>
        <w:t xml:space="preserve">  </w:t>
      </w:r>
      <w:proofErr w:type="gramEnd"/>
      <w:r>
        <w:rPr>
          <w:rFonts w:ascii="Times New Roman" w:hAnsi="Times New Roman"/>
        </w:rPr>
        <w:t>Todas as informações relativas ao fundo devem ser escritas em linguagem simples, clara, objetiva e concisa.</w:t>
      </w:r>
      <w:bookmarkEnd w:id="14"/>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 w:name="_DV_C27"/>
      <w:r>
        <w:rPr>
          <w:rFonts w:ascii="Times New Roman" w:hAnsi="Times New Roman"/>
        </w:rPr>
        <w:t>Art. 38-C.</w:t>
      </w:r>
      <w:proofErr w:type="gramStart"/>
      <w:r>
        <w:rPr>
          <w:rFonts w:ascii="Times New Roman" w:hAnsi="Times New Roman"/>
        </w:rPr>
        <w:t xml:space="preserve">  </w:t>
      </w:r>
      <w:proofErr w:type="gramEnd"/>
      <w:r>
        <w:rPr>
          <w:rFonts w:ascii="Times New Roman" w:hAnsi="Times New Roman"/>
        </w:rPr>
        <w:t>A divulgação de informações sobre o fundo deve ser abrangente, equitativa e simultânea para todos os cotistas.</w:t>
      </w:r>
      <w:bookmarkEnd w:id="15"/>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38-D.</w:t>
      </w:r>
      <w:proofErr w:type="gramStart"/>
      <w:r>
        <w:rPr>
          <w:rFonts w:ascii="Times New Roman" w:hAnsi="Times New Roman"/>
        </w:rPr>
        <w:t xml:space="preserve">  </w:t>
      </w:r>
      <w:proofErr w:type="gramEnd"/>
      <w:r>
        <w:rPr>
          <w:rFonts w:ascii="Times New Roman" w:hAnsi="Times New Roman"/>
        </w:rPr>
        <w:t xml:space="preserve">As informações fornecidas devem ser úteis à avaliação do investimento.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38-E.  As informações relativas ao fundo não podem</w:t>
      </w:r>
      <w:bookmarkStart w:id="16" w:name="_DV_C30"/>
      <w:bookmarkStart w:id="17" w:name="_DV_X189"/>
      <w:r>
        <w:rPr>
          <w:rFonts w:ascii="Times New Roman" w:hAnsi="Times New Roman"/>
        </w:rPr>
        <w:t xml:space="preserve"> assegurar ou sugerir a existência de garantia de resultados futuros ou isenção de risco para o investidor</w:t>
      </w:r>
      <w:bookmarkStart w:id="18" w:name="_DV_C31"/>
      <w:bookmarkEnd w:id="16"/>
      <w:bookmarkEnd w:id="17"/>
      <w:r>
        <w:rPr>
          <w:rFonts w:ascii="Times New Roman" w:hAnsi="Times New Roman"/>
        </w:rPr>
        <w:t>.</w:t>
      </w:r>
      <w:bookmarkEnd w:id="1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9" w:name="_DV_C32"/>
      <w:r>
        <w:rPr>
          <w:rFonts w:ascii="Times New Roman" w:hAnsi="Times New Roman"/>
        </w:rPr>
        <w:t>Art. 38-F.</w:t>
      </w:r>
      <w:proofErr w:type="gramStart"/>
      <w:r>
        <w:rPr>
          <w:rFonts w:ascii="Times New Roman" w:hAnsi="Times New Roman"/>
        </w:rPr>
        <w:t xml:space="preserve">  </w:t>
      </w:r>
      <w:proofErr w:type="gramEnd"/>
      <w:r>
        <w:rPr>
          <w:rFonts w:ascii="Times New Roman" w:hAnsi="Times New Roman"/>
        </w:rPr>
        <w:t>Informações factuais devem ser diferenciadas de interpretações, opiniões, projeções e estimativas.</w:t>
      </w:r>
      <w:bookmarkEnd w:id="1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0" w:name="_DV_C33"/>
      <w:r>
        <w:rPr>
          <w:rFonts w:ascii="Times New Roman" w:hAnsi="Times New Roman"/>
        </w:rPr>
        <w:lastRenderedPageBreak/>
        <w:t>Parágrafo único.  Informações factuais devem vir acompanhadas da indicação de suas fontes.</w:t>
      </w:r>
      <w:bookmarkEnd w:id="2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1" w:name="_DV_C34"/>
      <w:r>
        <w:rPr>
          <w:rFonts w:ascii="Times New Roman" w:hAnsi="Times New Roman"/>
        </w:rPr>
        <w:t>Art. 38-G.</w:t>
      </w:r>
      <w:proofErr w:type="gramStart"/>
      <w:r>
        <w:rPr>
          <w:rFonts w:ascii="Times New Roman" w:hAnsi="Times New Roman"/>
        </w:rPr>
        <w:t xml:space="preserve">  </w:t>
      </w:r>
      <w:proofErr w:type="gramEnd"/>
      <w:r>
        <w:rPr>
          <w:rFonts w:ascii="Times New Roman" w:hAnsi="Times New Roman"/>
        </w:rPr>
        <w:t>A presente seção se aplica ao prospecto, à lâmina e a qualquer outro material de divulgação do fundo.</w:t>
      </w:r>
      <w:bookmarkEnd w:id="21"/>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2" w:name="_DV_C35"/>
      <w:r>
        <w:rPr>
          <w:rFonts w:ascii="Times New Roman" w:hAnsi="Times New Roman"/>
        </w:rPr>
        <w:t>Art. 38-H.</w:t>
      </w:r>
      <w:proofErr w:type="gramStart"/>
      <w:r>
        <w:rPr>
          <w:rFonts w:ascii="Times New Roman" w:hAnsi="Times New Roman"/>
        </w:rPr>
        <w:t xml:space="preserve">  </w:t>
      </w:r>
      <w:proofErr w:type="gramEnd"/>
      <w:r>
        <w:rPr>
          <w:rFonts w:ascii="Times New Roman" w:hAnsi="Times New Roman"/>
        </w:rPr>
        <w:t>Caso as informações divulgadas apresentem</w:t>
      </w:r>
      <w:bookmarkStart w:id="23" w:name="_DV_C36"/>
      <w:bookmarkStart w:id="24" w:name="_DV_X182"/>
      <w:bookmarkEnd w:id="22"/>
      <w:r>
        <w:rPr>
          <w:rFonts w:ascii="Times New Roman" w:hAnsi="Times New Roman"/>
        </w:rPr>
        <w:t xml:space="preserve"> incorreções ou impropriedades que possam induzir o investidor a erros de avaliação, a CVM pode exigir</w:t>
      </w:r>
      <w:bookmarkStart w:id="25" w:name="_DV_C37"/>
      <w:bookmarkEnd w:id="23"/>
      <w:bookmarkEnd w:id="24"/>
      <w:r>
        <w:rPr>
          <w:rFonts w:ascii="Times New Roman" w:hAnsi="Times New Roman"/>
        </w:rPr>
        <w:t>:</w:t>
      </w:r>
      <w:bookmarkEnd w:id="25"/>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6" w:name="_DV_C38"/>
      <w:r>
        <w:rPr>
          <w:rFonts w:ascii="Times New Roman" w:hAnsi="Times New Roman"/>
        </w:rPr>
        <w:t xml:space="preserve">I – a cessação da divulgação da informação; </w:t>
      </w:r>
      <w:proofErr w:type="gramStart"/>
      <w:r>
        <w:rPr>
          <w:rFonts w:ascii="Times New Roman" w:hAnsi="Times New Roman"/>
        </w:rPr>
        <w:t>e</w:t>
      </w:r>
      <w:bookmarkEnd w:id="26"/>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27" w:name="_DV_C39"/>
      <w:r>
        <w:rPr>
          <w:rFonts w:ascii="Times New Roman" w:hAnsi="Times New Roman"/>
        </w:rPr>
        <w:t>II – a veiculação, com igual destaque e por meio</w:t>
      </w:r>
      <w:bookmarkStart w:id="28" w:name="_DV_C40"/>
      <w:bookmarkStart w:id="29" w:name="_DV_X184"/>
      <w:bookmarkEnd w:id="27"/>
      <w:r>
        <w:rPr>
          <w:rFonts w:ascii="Times New Roman" w:hAnsi="Times New Roman"/>
        </w:rPr>
        <w:t xml:space="preserve"> do veículo usado para divulgar </w:t>
      </w:r>
      <w:bookmarkStart w:id="30" w:name="_DV_C41"/>
      <w:bookmarkEnd w:id="28"/>
      <w:bookmarkEnd w:id="29"/>
      <w:r>
        <w:rPr>
          <w:rFonts w:ascii="Times New Roman" w:hAnsi="Times New Roman"/>
        </w:rPr>
        <w:t>a informação original, de retificações e esclarecimentos, devendo constar</w:t>
      </w:r>
      <w:bookmarkStart w:id="31" w:name="_DV_C42"/>
      <w:bookmarkStart w:id="32" w:name="_DV_X186"/>
      <w:bookmarkEnd w:id="30"/>
      <w:r>
        <w:rPr>
          <w:rFonts w:ascii="Times New Roman" w:hAnsi="Times New Roman"/>
        </w:rPr>
        <w:t>, de forma expressa, que a informação está sendo republicada por determinação da CVM.</w:t>
      </w:r>
      <w:bookmarkEnd w:id="31"/>
      <w:bookmarkEnd w:id="32"/>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proofErr w:type="spellStart"/>
      <w:r>
        <w:rPr>
          <w:rFonts w:ascii="Times New Roman" w:hAnsi="Times New Roman"/>
          <w:b/>
        </w:rPr>
        <w:t>Arts</w:t>
      </w:r>
      <w:proofErr w:type="spellEnd"/>
      <w:r>
        <w:rPr>
          <w:rFonts w:ascii="Times New Roman" w:hAnsi="Times New Roman"/>
          <w:b/>
        </w:rPr>
        <w:t>. 38-</w:t>
      </w:r>
      <w:proofErr w:type="gramStart"/>
      <w:r>
        <w:rPr>
          <w:rFonts w:ascii="Times New Roman" w:hAnsi="Times New Roman"/>
          <w:b/>
        </w:rPr>
        <w:t>A a</w:t>
      </w:r>
      <w:proofErr w:type="gramEnd"/>
      <w:r>
        <w:rPr>
          <w:rFonts w:ascii="Times New Roman" w:hAnsi="Times New Roman"/>
          <w:b/>
        </w:rPr>
        <w:t xml:space="preserve"> 38-H incluídos pela Instrução CVM nº 522, de 8 de maio de 2012.</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V</w:t>
      </w:r>
    </w:p>
    <w:p w:rsidR="00B2445D" w:rsidRDefault="00B2445D" w:rsidP="00B2445D">
      <w:pPr>
        <w:pStyle w:val="NormalWeb"/>
        <w:ind w:firstLine="567"/>
        <w:jc w:val="center"/>
        <w:rPr>
          <w:rFonts w:ascii="Times New Roman" w:hAnsi="Times New Roman"/>
        </w:rPr>
      </w:pPr>
      <w:r>
        <w:rPr>
          <w:rFonts w:ascii="Times New Roman" w:hAnsi="Times New Roman"/>
        </w:rPr>
        <w:t>Do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39.  O prospecto deve conter todas as informações relevantes para o investidor relativas à política de investimento do fundo e aos riscos envolvidos.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§1º</w:t>
      </w:r>
      <w:proofErr w:type="gramStart"/>
      <w:r>
        <w:rPr>
          <w:rFonts w:ascii="Times New Roman" w:hAnsi="Times New Roman"/>
        </w:rPr>
        <w:t xml:space="preserve">  </w:t>
      </w:r>
      <w:proofErr w:type="gramEnd"/>
      <w:r>
        <w:rPr>
          <w:rFonts w:ascii="Times New Roman" w:hAnsi="Times New Roman"/>
        </w:rPr>
        <w:t xml:space="preserve">O prospecto atualizado deve estar à disposição dos investidores potenciais durante o período de distribuição, nos locais em que esta for realizada, em número suficiente de exemplares.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administrador do fundo deverá encaminhar à CVM, em meio eletrônico através do Sistema de Envio de Documentos disponível na página da CVM na rede mundial de computadores, no prazo de 1 (um) dia útil, quaisquer alterações realizadas no prospecto, as quais serão colocadas à disposição para consulta pública.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40.  O prospecto deve conter, em linguagem clara e acessível ao público alvo do fundo, informações sobre os seguintes tópicos, assim como quaisquer outras informações consideradas relevantes: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metas e objetivos de gestão do fundo, bem como seu público alvo;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política de investimento e faixas de alocação de ativos, discriminando o processo de análise e seleção dos mesmos;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política de investimento e faixas de alocação de ativos financeiros, discriminando seu processo de análise e seleção;</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relação dos prestadores de serviços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especificação, de forma clara, das taxas e demais despesas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V – apresentação do administrador e do gestor, quando for o caso, de suas respectivas experiências profissionais e formação acadêmica, bem como informação sobre seus departamentos técnicos e demais recursos e serviços utilizados para gerir 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apresentação detalhada do administrador e do gestor, quando for o caso, com informação sobre seu registro perante a CVM, seus departamentos técnicos e demais recursos e serviços utilizados para gerir 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9"/>
        </w:numPr>
        <w:ind w:left="0" w:firstLine="567"/>
        <w:jc w:val="both"/>
        <w:rPr>
          <w:rFonts w:ascii="Times New Roman" w:hAnsi="Times New Roman"/>
          <w:b/>
        </w:rPr>
      </w:pPr>
      <w:r>
        <w:rPr>
          <w:rFonts w:ascii="Times New Roman" w:hAnsi="Times New Roman"/>
          <w:b/>
        </w:rPr>
        <w:t xml:space="preserve">Inciso V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condições de compra de cotas do fundo, compreendendo limites mínimos e máximos de investimento, bem como valores mínimos para movimentação e permanência no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condições de resgate de cotas e, se for o caso, prazo de carência;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VIII – política de distribuição de resultados, se houver, compreendendo os prazos e condições de pagamento;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IX – identificação dos riscos assumidos pelo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 – informação sobre a política de administração dos riscos assumidos pelo fundo</w:t>
      </w:r>
      <w:proofErr w:type="gramStart"/>
      <w:r>
        <w:rPr>
          <w:rFonts w:ascii="Times New Roman" w:hAnsi="Times New Roman"/>
          <w:strike/>
        </w:rPr>
        <w:t>, se for</w:t>
      </w:r>
      <w:proofErr w:type="gramEnd"/>
      <w:r>
        <w:rPr>
          <w:rFonts w:ascii="Times New Roman" w:hAnsi="Times New Roman"/>
          <w:strike/>
        </w:rPr>
        <w:t xml:space="preserve"> o caso;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X – informação sobre a política de administração dos riscos assumidos pelo fundo, inclusive no que diz respeito aos métodos utilizados para gerenciamento destes riscos;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9"/>
        </w:numPr>
        <w:ind w:left="0" w:firstLine="567"/>
        <w:jc w:val="both"/>
        <w:rPr>
          <w:rFonts w:ascii="Times New Roman" w:hAnsi="Times New Roman"/>
          <w:strike/>
        </w:rPr>
      </w:pPr>
      <w:r>
        <w:rPr>
          <w:rFonts w:ascii="Times New Roman" w:hAnsi="Times New Roman"/>
          <w:b/>
          <w:strike/>
        </w:rPr>
        <w:t xml:space="preserve">Inciso X com redação dada pela Instrução CVM nº 450, de 30 de março de </w:t>
      </w:r>
      <w:proofErr w:type="gramStart"/>
      <w:r>
        <w:rPr>
          <w:rFonts w:ascii="Times New Roman" w:hAnsi="Times New Roman"/>
          <w:b/>
          <w:strike/>
        </w:rPr>
        <w:t>2007</w:t>
      </w:r>
      <w:proofErr w:type="gramEnd"/>
      <w:r>
        <w:rPr>
          <w:rFonts w:ascii="Times New Roman" w:hAnsi="Times New Roman"/>
          <w:b/>
          <w:strike/>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w:t>
      </w:r>
      <w:proofErr w:type="gramStart"/>
      <w:r>
        <w:rPr>
          <w:rFonts w:ascii="Times New Roman" w:hAnsi="Times New Roman"/>
        </w:rPr>
        <w:t>política de administração de risco, com a descrição dos métodos utilizados pelo administrador para gerenciar os riscos a que o fundo se encontra sujeito, inclusive risco</w:t>
      </w:r>
      <w:proofErr w:type="gramEnd"/>
      <w:r>
        <w:rPr>
          <w:rFonts w:ascii="Times New Roman" w:hAnsi="Times New Roman"/>
        </w:rPr>
        <w:t xml:space="preserve"> de liquidez;</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X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 – informação sobre a tributação aplicável ao fundo e a seus cotistas, contemplando a política a ser adotada pelo administrador quanto ao tratamento tributário perseguido;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XII – política relativa ao exercício de direito de voto do fundo, pelo administrador ou por seus representantes legalmente constituídos, em </w:t>
      </w:r>
      <w:proofErr w:type="spellStart"/>
      <w:r>
        <w:rPr>
          <w:rFonts w:ascii="Times New Roman" w:hAnsi="Times New Roman"/>
          <w:strike/>
        </w:rPr>
        <w:t>assembléias</w:t>
      </w:r>
      <w:proofErr w:type="spellEnd"/>
      <w:r>
        <w:rPr>
          <w:rFonts w:ascii="Times New Roman" w:hAnsi="Times New Roman"/>
          <w:strike/>
        </w:rPr>
        <w:t xml:space="preserve"> gerais das companhias nas quais o fundo detenha participação;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 – política relativa ao exercício de direito de voto </w:t>
      </w:r>
      <w:bookmarkStart w:id="33" w:name="_DV_C44"/>
      <w:r>
        <w:rPr>
          <w:rFonts w:ascii="Times New Roman" w:hAnsi="Times New Roman"/>
        </w:rPr>
        <w:t>decorrente de ativos financeiros detidos pelo fundo</w:t>
      </w:r>
      <w:bookmarkStart w:id="34" w:name="_DV_M228"/>
      <w:bookmarkEnd w:id="33"/>
      <w:bookmarkEnd w:id="34"/>
      <w:r>
        <w:rPr>
          <w:rFonts w:ascii="Times New Roman" w:hAnsi="Times New Roman"/>
        </w:rPr>
        <w:t>;</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XII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XIII – política de divulgação de informações a interessados, inclusive as de composição de carteira, que deverá ser idêntica para todos que solicitarem, sendo que a alteração desta política deverá ser divulgada como fato relevante;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XIII – política de divulgação de informações, inclusive as de composição de carteira, que deverá ser idêntica para todos que solicitarem;</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Inciso XIII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XIV – quando </w:t>
      </w:r>
      <w:proofErr w:type="gramStart"/>
      <w:r>
        <w:rPr>
          <w:rFonts w:ascii="Times New Roman" w:hAnsi="Times New Roman"/>
        </w:rPr>
        <w:t>houver,</w:t>
      </w:r>
      <w:proofErr w:type="gramEnd"/>
      <w:r>
        <w:rPr>
          <w:rFonts w:ascii="Times New Roman" w:hAnsi="Times New Roman"/>
        </w:rPr>
        <w:t xml:space="preserve"> identificação da agência classificadora de risco do fundo, bem como a classificação obtida;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XV – observado o disposto no art. 75, os resultados do fundo em exercícios anteriores, bem como a indicação sobre o local e a forma de obtenção de outras informações referentes a exercícios anteriores, tais como demonstrações contábeis, relatórios do administrador do fundo e demais documentos pertinentes que tenham sido elaborados por força de disposições regulamentares aplicáveis;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 – observado o disposto no art. 75, a indicação sobre o local, ou meio, e a forma de obtenção dos resultados do fundo em exercícios anteriores, e de outras informações referentes a exercícios anteriores, tais como demonstrações contábeis, relatórios do administrador do fundo e demais documentos pertinentes que tenham sido divulgados ou elaborados por força de disposições regulamentares aplicáveis;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0"/>
        </w:numPr>
        <w:ind w:left="0" w:firstLine="567"/>
        <w:jc w:val="both"/>
        <w:rPr>
          <w:rFonts w:ascii="Times New Roman" w:hAnsi="Times New Roman"/>
          <w:b/>
        </w:rPr>
      </w:pPr>
      <w:r>
        <w:rPr>
          <w:rFonts w:ascii="Times New Roman" w:hAnsi="Times New Roman"/>
          <w:b/>
        </w:rPr>
        <w:t xml:space="preserve">Inciso XV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XVI – o percentual máximo de cotas que pode ser detido por um único cotista;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§1º</w:t>
      </w:r>
      <w:proofErr w:type="gramStart"/>
      <w:r>
        <w:rPr>
          <w:rFonts w:ascii="Times New Roman" w:hAnsi="Times New Roman"/>
        </w:rPr>
        <w:t xml:space="preserve">  </w:t>
      </w:r>
      <w:proofErr w:type="gramEnd"/>
      <w:r>
        <w:rPr>
          <w:rFonts w:ascii="Times New Roman" w:hAnsi="Times New Roman"/>
        </w:rPr>
        <w:t>O prospecto deve conter, de forma destacada, os dizeres: "A concessão de registro para a venda de cotas deste fundo não implica, por parte da CVM, garantia de veracidade das informações prestadas ou de adequação do regulamento do fundo ou do seu prospecto à legislação vigente ou julgamento sobre a qualidade do fundo ou de seu administrador, gestor e demais prestadores de serviços.".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O fundo que pretender realizar operações com derivativos que possam resultar em perdas patrimoniais ou, em especial, levar à ocorrência de patrimônio líquido negativo, deverá inserir na capa de seu prospecto e em todo o material de divulgação, de forma clara, legível e em destaque, uma das seguintes advertências, conforme o caso: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"Este fundo utiliza estratégias com derivativos como parte integrante de sua política de investimento. Tais estratégias, da forma como são adotadas, podem resultar em significativas perdas patrimoniais para seus cotistas."; </w:t>
      </w:r>
      <w:proofErr w:type="gramStart"/>
      <w:r>
        <w:rPr>
          <w:rFonts w:ascii="Times New Roman" w:hAnsi="Times New Roman"/>
          <w:strike/>
        </w:rPr>
        <w:t>ou</w:t>
      </w:r>
      <w:proofErr w:type="gramEnd"/>
      <w:r>
        <w:rPr>
          <w:rFonts w:ascii="Times New Roman" w:hAnsi="Times New Roman"/>
          <w:strike/>
        </w:rPr>
        <w:t xml:space="preserve">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"Este fundo utiliza estratégias com derivativos como parte integrante de sua política de investimento. Tais estratégias, da forma como são adotadas, podem resultar em significativas perdas patrimoniais para seus cotistas, podendo inclusive acarretar perdas superiores ao capital aplicado e a </w:t>
      </w:r>
      <w:proofErr w:type="spellStart"/>
      <w:r>
        <w:rPr>
          <w:rFonts w:ascii="Times New Roman" w:hAnsi="Times New Roman"/>
          <w:strike/>
        </w:rPr>
        <w:t>conseqüente</w:t>
      </w:r>
      <w:proofErr w:type="spellEnd"/>
      <w:r>
        <w:rPr>
          <w:rFonts w:ascii="Times New Roman" w:hAnsi="Times New Roman"/>
          <w:strike/>
        </w:rPr>
        <w:t xml:space="preserve"> obrigação do cotista de aportar recursos adicionais para cobrir o prejuízo do fundo.</w:t>
      </w:r>
      <w:proofErr w:type="gramStart"/>
      <w:r>
        <w:rPr>
          <w:rFonts w:ascii="Times New Roman" w:hAnsi="Times New Roman"/>
          <w:strike/>
        </w:rPr>
        <w:t>"</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fundo que pretender realizar operações</w:t>
      </w:r>
      <w:bookmarkStart w:id="35" w:name="_DV_M235"/>
      <w:bookmarkEnd w:id="35"/>
      <w:r>
        <w:rPr>
          <w:rFonts w:ascii="Times New Roman" w:hAnsi="Times New Roman"/>
        </w:rPr>
        <w:t xml:space="preserve"> que possam resultar em perdas patrimoniais ou, em especial, levar à ocorrência de patrimônio líquido negativo, deve inserir na capa de seu prospecto, de forma clara, legível e em destaque, uma das seguintes advertências, conforme o caso: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"Este fundo utiliza estratégias que podem resultar em significativas perdas patrimoniais para seus cotistas."; </w:t>
      </w:r>
      <w:proofErr w:type="gramStart"/>
      <w:r>
        <w:rPr>
          <w:rFonts w:ascii="Times New Roman" w:hAnsi="Times New Roman"/>
        </w:rPr>
        <w:t>ou</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 – "Este fundo utiliza estratégias que podem resultar em significativas perdas patrimoniais para seus cotistas, podendo inclusive acarretar perdas superiores ao capital aplicado e a consequente obrigação do cotista de aportar recursos adicionais para cobrir o prejuízo do fundo".</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Caso o regulamento estabeleça data de conversão diversa da data de resgate, pagamento do resgate em data diversa do pedido de resgate ou prazo de carência para o resgate, tais fatos deverão ser incluídos com destaque na capa do prospecto e em todo o material de divulgação, de forma clara e legível.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§4º</w:t>
      </w:r>
      <w:proofErr w:type="gramStart"/>
      <w:r>
        <w:rPr>
          <w:rFonts w:ascii="Times New Roman" w:hAnsi="Times New Roman"/>
          <w:strike/>
        </w:rPr>
        <w:t xml:space="preserve">  </w:t>
      </w:r>
      <w:proofErr w:type="gramEnd"/>
      <w:r>
        <w:rPr>
          <w:rFonts w:ascii="Times New Roman" w:hAnsi="Times New Roman"/>
          <w:strike/>
        </w:rPr>
        <w:t xml:space="preserve">Caso o administrador tenha contratado agência classificadora de risco, a remuneração da agência classificadora constituirá despesa do administrador, e o prospecto deverá conter advertência de que a manutenção desse serviço não é obrigatória, podendo o mesmo ser descontinuado, a critério do administrador do fundo ou da </w:t>
      </w:r>
      <w:proofErr w:type="spellStart"/>
      <w:r>
        <w:rPr>
          <w:rFonts w:ascii="Times New Roman" w:hAnsi="Times New Roman"/>
          <w:strike/>
        </w:rPr>
        <w:t>assembléia</w:t>
      </w:r>
      <w:proofErr w:type="spellEnd"/>
      <w:r>
        <w:rPr>
          <w:rFonts w:ascii="Times New Roman" w:hAnsi="Times New Roman"/>
          <w:strike/>
        </w:rPr>
        <w:t xml:space="preserve"> geral de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 xml:space="preserve">Caso o administrador tenha contratado agência classificadora de risco, o prospecto deverá conter advertência de que a manutenção desse serviço não é obrigatória, podendo o mesmo ser descontinuado, a critério do administrador do fundo ou da </w:t>
      </w:r>
      <w:proofErr w:type="spellStart"/>
      <w:r>
        <w:rPr>
          <w:rFonts w:ascii="Times New Roman" w:hAnsi="Times New Roman"/>
        </w:rPr>
        <w:t>assembléia</w:t>
      </w:r>
      <w:proofErr w:type="spellEnd"/>
      <w:r>
        <w:rPr>
          <w:rFonts w:ascii="Times New Roman" w:hAnsi="Times New Roman"/>
        </w:rPr>
        <w:t xml:space="preserve"> geral de cotistas.</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§4º com redação dada pela Instrução CVM nº 450, de 30 de março de 2007.</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§5º</w:t>
      </w:r>
      <w:proofErr w:type="gramStart"/>
      <w:r>
        <w:rPr>
          <w:rFonts w:ascii="Times New Roman" w:hAnsi="Times New Roman"/>
          <w:strike/>
        </w:rPr>
        <w:t xml:space="preserve">  </w:t>
      </w:r>
      <w:proofErr w:type="gramEnd"/>
      <w:r>
        <w:rPr>
          <w:rFonts w:ascii="Times New Roman" w:hAnsi="Times New Roman"/>
          <w:strike/>
        </w:rPr>
        <w:t>A rescisão do contrato firmado com agência classificadora de risco somente será admitida mediante a observância de período de carência de 180 (cento e oitenta) dias, sendo obrigatória a apresentação, ao final desse período, de relatório de classificação de risco elaborado pela mesma agência.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Na descrição da política de administração de risco, o prospecto deverá conter advertência de que os métodos utilizados pelo administrador para gerenciar os riscos a que o fundo se encontra sujeito não constituem garantia contra eventuais perdas patrimoniais que possam ser incorridas pelo fundo.</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§5º com redação dada pela Instrução CVM nº 450, de 30 de março de 2007.</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 xml:space="preserve">A remuneração de agência classificadora de risco contratada pelo fundo poderá constituir despesa do fundo desde que tal possibilidade conste do regulamento aprovado quando de sua constituição ou seja expressamente aprovada por </w:t>
      </w:r>
      <w:proofErr w:type="spellStart"/>
      <w:r>
        <w:rPr>
          <w:rFonts w:ascii="Times New Roman" w:hAnsi="Times New Roman"/>
          <w:strike/>
        </w:rPr>
        <w:t>assembléia</w:t>
      </w:r>
      <w:proofErr w:type="spellEnd"/>
      <w:r>
        <w:rPr>
          <w:rFonts w:ascii="Times New Roman" w:hAnsi="Times New Roman"/>
          <w:strike/>
        </w:rPr>
        <w:t xml:space="preserve"> geral posteriormente realizada.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A remuneração de agência classificadora de risco contratada pelo fundo poderá constituir despesa do fundo desde que: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seja deduzida da taxa de administração;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tal possibilidade conste do regulamento aprovado quando de sua constituição</w:t>
      </w:r>
      <w:proofErr w:type="gramStart"/>
      <w:r>
        <w:rPr>
          <w:rFonts w:ascii="Times New Roman" w:hAnsi="Times New Roman"/>
          <w:strike/>
        </w:rPr>
        <w:t xml:space="preserve"> ou seja</w:t>
      </w:r>
      <w:proofErr w:type="gramEnd"/>
      <w:r>
        <w:rPr>
          <w:rFonts w:ascii="Times New Roman" w:hAnsi="Times New Roman"/>
          <w:strike/>
        </w:rPr>
        <w:t xml:space="preserve"> expressamente aprovada por </w:t>
      </w:r>
      <w:proofErr w:type="spellStart"/>
      <w:r>
        <w:rPr>
          <w:rFonts w:ascii="Times New Roman" w:hAnsi="Times New Roman"/>
          <w:strike/>
        </w:rPr>
        <w:t>assembléia</w:t>
      </w:r>
      <w:proofErr w:type="spellEnd"/>
      <w:r>
        <w:rPr>
          <w:rFonts w:ascii="Times New Roman" w:hAnsi="Times New Roman"/>
          <w:strike/>
        </w:rPr>
        <w:t xml:space="preserve"> geral posteriormente realizada.</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11"/>
        </w:numPr>
        <w:ind w:left="0" w:firstLine="567"/>
        <w:jc w:val="both"/>
        <w:rPr>
          <w:rFonts w:ascii="Times New Roman" w:hAnsi="Times New Roman"/>
          <w:b/>
          <w:strike/>
        </w:rPr>
      </w:pPr>
      <w:r>
        <w:rPr>
          <w:rFonts w:ascii="Times New Roman" w:hAnsi="Times New Roman"/>
          <w:b/>
          <w:strike/>
        </w:rPr>
        <w:t>§6º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6º</w:t>
      </w:r>
      <w:proofErr w:type="gramStart"/>
      <w:r>
        <w:rPr>
          <w:rFonts w:ascii="Times New Roman" w:hAnsi="Times New Roman"/>
          <w:strike/>
        </w:rPr>
        <w:t xml:space="preserve">  </w:t>
      </w:r>
      <w:proofErr w:type="gramEnd"/>
      <w:r>
        <w:rPr>
          <w:rFonts w:ascii="Times New Roman" w:hAnsi="Times New Roman"/>
          <w:strike/>
        </w:rPr>
        <w:t xml:space="preserve">Os fundos que se utilizarem da prerrogativa de que trata o §3º do art. 10 deverão mencionar no prospecto, como indicação dos riscos assumidos pelo fundo de que trata o inciso IX do </w:t>
      </w:r>
      <w:r>
        <w:rPr>
          <w:rFonts w:ascii="Times New Roman" w:hAnsi="Times New Roman"/>
          <w:b/>
          <w:strike/>
        </w:rPr>
        <w:t xml:space="preserve">caput </w:t>
      </w:r>
      <w:r>
        <w:rPr>
          <w:rFonts w:ascii="Times New Roman" w:hAnsi="Times New Roman"/>
          <w:strike/>
        </w:rPr>
        <w:t>deste artigo, a possibilidade de perdas decorrentes da volatilidade nos preços dos ativos que integram sua carteira.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67"/>
        <w:jc w:val="both"/>
        <w:rPr>
          <w:rFonts w:ascii="Times New Roman" w:hAnsi="Times New Roman"/>
          <w:b/>
          <w:strike/>
        </w:rPr>
      </w:pPr>
      <w:r>
        <w:rPr>
          <w:rFonts w:ascii="Times New Roman" w:hAnsi="Times New Roman"/>
          <w:b/>
          <w:strike/>
        </w:rPr>
        <w:t>§6º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Os fundos que se utilizarem da prerrogativa de que trata o § 3º do art. 10 devem mencionar no prospecto, como indicação dos riscos assumidos pelo fundo de que trata o inciso IX do caput deste artigo, a possibilidade de perdas decorrentes da volatilidade nos preços dos ativos financeiros que integram sua carteira.</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§6º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§7º</w:t>
      </w:r>
      <w:proofErr w:type="gramStart"/>
      <w:r>
        <w:rPr>
          <w:rFonts w:ascii="Times New Roman" w:hAnsi="Times New Roman"/>
          <w:strike/>
        </w:rPr>
        <w:t xml:space="preserve">  </w:t>
      </w:r>
      <w:proofErr w:type="gramEnd"/>
      <w:r>
        <w:rPr>
          <w:rFonts w:ascii="Times New Roman" w:hAnsi="Times New Roman"/>
          <w:strike/>
        </w:rPr>
        <w:t>Na descrição da política de administração de risco, o prospecto deverá conter advertência de que os métodos utilizados pelo administrador para gerenciar os riscos a que o fundo se encontra sujeito não constituem garantia contra eventuais perdas patrimoniais que possam ser incorridas pelo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lang w:val="pt-PT"/>
        </w:rPr>
      </w:pPr>
      <w:r>
        <w:rPr>
          <w:rFonts w:ascii="Times New Roman" w:hAnsi="Times New Roman"/>
          <w:strike/>
        </w:rPr>
        <w:t>§8º</w:t>
      </w:r>
      <w:proofErr w:type="gramStart"/>
      <w:r>
        <w:rPr>
          <w:rFonts w:ascii="Times New Roman" w:hAnsi="Times New Roman"/>
          <w:strike/>
        </w:rPr>
        <w:t xml:space="preserve">  </w:t>
      </w:r>
      <w:proofErr w:type="gramEnd"/>
      <w:r>
        <w:rPr>
          <w:rFonts w:ascii="Times New Roman" w:hAnsi="Times New Roman"/>
          <w:strike/>
        </w:rPr>
        <w:t>Alterações da política de administração de risco devem ser divulgadas como fato relevante.</w:t>
      </w:r>
    </w:p>
    <w:p w:rsidR="00B2445D" w:rsidRDefault="00B2445D" w:rsidP="00B2445D">
      <w:pPr>
        <w:pStyle w:val="NormalWeb"/>
        <w:ind w:firstLine="567"/>
        <w:jc w:val="both"/>
        <w:rPr>
          <w:rFonts w:ascii="Times New Roman" w:hAnsi="Times New Roman"/>
          <w:strike/>
          <w:lang w:val="pt-PT"/>
        </w:rPr>
      </w:pPr>
    </w:p>
    <w:p w:rsidR="00B2445D" w:rsidRDefault="00B2445D" w:rsidP="00B2445D">
      <w:pPr>
        <w:pStyle w:val="NormalWeb"/>
        <w:ind w:firstLine="567"/>
        <w:jc w:val="both"/>
        <w:rPr>
          <w:rFonts w:ascii="Times New Roman" w:hAnsi="Times New Roman"/>
          <w:strike/>
          <w:lang w:val="pt-PT"/>
        </w:rPr>
      </w:pPr>
      <w:r>
        <w:rPr>
          <w:rFonts w:ascii="Times New Roman" w:hAnsi="Times New Roman"/>
          <w:strike/>
          <w:lang w:val="pt-PT"/>
        </w:rPr>
        <w:t>§9º</w:t>
      </w:r>
      <w:proofErr w:type="gramStart"/>
      <w:r>
        <w:rPr>
          <w:rFonts w:ascii="Times New Roman" w:hAnsi="Times New Roman"/>
          <w:strike/>
          <w:lang w:val="pt-PT"/>
        </w:rPr>
        <w:t xml:space="preserve">  </w:t>
      </w:r>
      <w:proofErr w:type="gramEnd"/>
      <w:r>
        <w:rPr>
          <w:rFonts w:ascii="Times New Roman" w:hAnsi="Times New Roman"/>
          <w:strike/>
          <w:lang w:val="pt-PT"/>
        </w:rPr>
        <w:t>Na definição da política de divulgação de informações deverão ser definidos:</w:t>
      </w:r>
    </w:p>
    <w:p w:rsidR="00B2445D" w:rsidRDefault="00B2445D" w:rsidP="00B2445D">
      <w:pPr>
        <w:pStyle w:val="NormalWeb"/>
        <w:ind w:firstLine="567"/>
        <w:jc w:val="both"/>
        <w:rPr>
          <w:rFonts w:ascii="Times New Roman" w:hAnsi="Times New Roman"/>
          <w:strike/>
          <w:lang w:val="pt-PT"/>
        </w:rPr>
      </w:pPr>
    </w:p>
    <w:p w:rsidR="00B2445D" w:rsidRDefault="00B2445D" w:rsidP="00B2445D">
      <w:pPr>
        <w:pStyle w:val="NormalWeb"/>
        <w:ind w:firstLine="567"/>
        <w:jc w:val="both"/>
        <w:rPr>
          <w:rFonts w:ascii="Times New Roman" w:hAnsi="Times New Roman"/>
          <w:strike/>
          <w:lang w:val="pt-PT"/>
        </w:rPr>
      </w:pPr>
      <w:r>
        <w:rPr>
          <w:rFonts w:ascii="Times New Roman" w:hAnsi="Times New Roman"/>
          <w:strike/>
          <w:lang w:val="pt-PT"/>
        </w:rPr>
        <w:t>I – a periodicidade mínima para divulgação da composição da carteira do fundo;</w:t>
      </w:r>
    </w:p>
    <w:p w:rsidR="00B2445D" w:rsidRDefault="00B2445D" w:rsidP="00B2445D">
      <w:pPr>
        <w:pStyle w:val="NormalWeb"/>
        <w:ind w:firstLine="567"/>
        <w:jc w:val="both"/>
        <w:rPr>
          <w:rFonts w:ascii="Times New Roman" w:hAnsi="Times New Roman"/>
          <w:strike/>
          <w:lang w:val="pt-PT"/>
        </w:rPr>
      </w:pPr>
    </w:p>
    <w:p w:rsidR="00B2445D" w:rsidRDefault="00B2445D" w:rsidP="00B2445D">
      <w:pPr>
        <w:pStyle w:val="NormalWeb"/>
        <w:ind w:firstLine="567"/>
        <w:jc w:val="both"/>
        <w:rPr>
          <w:rFonts w:ascii="Times New Roman" w:hAnsi="Times New Roman"/>
          <w:strike/>
          <w:lang w:val="pt-PT"/>
        </w:rPr>
      </w:pPr>
      <w:r>
        <w:rPr>
          <w:rFonts w:ascii="Times New Roman" w:hAnsi="Times New Roman"/>
          <w:strike/>
          <w:lang w:val="pt-PT"/>
        </w:rPr>
        <w:t>II – o nível de detalhamento das informações;</w:t>
      </w:r>
    </w:p>
    <w:p w:rsidR="00B2445D" w:rsidRDefault="00B2445D" w:rsidP="00B2445D">
      <w:pPr>
        <w:pStyle w:val="NormalWeb"/>
        <w:ind w:firstLine="567"/>
        <w:jc w:val="both"/>
        <w:rPr>
          <w:rFonts w:ascii="Times New Roman" w:hAnsi="Times New Roman"/>
          <w:strike/>
          <w:lang w:val="pt-PT"/>
        </w:rPr>
      </w:pPr>
    </w:p>
    <w:p w:rsidR="00B2445D" w:rsidRDefault="00B2445D" w:rsidP="00B2445D">
      <w:pPr>
        <w:pStyle w:val="NormalWeb"/>
        <w:ind w:firstLine="567"/>
        <w:jc w:val="both"/>
        <w:rPr>
          <w:rFonts w:ascii="Times New Roman" w:hAnsi="Times New Roman"/>
          <w:strike/>
          <w:lang w:val="pt-PT"/>
        </w:rPr>
      </w:pPr>
      <w:r>
        <w:rPr>
          <w:rFonts w:ascii="Times New Roman" w:hAnsi="Times New Roman"/>
          <w:strike/>
          <w:lang w:val="pt-PT"/>
        </w:rPr>
        <w:t>III – o local e meio de solicitação e divulgação das informações.</w:t>
      </w:r>
    </w:p>
    <w:p w:rsidR="00B2445D" w:rsidRDefault="00B2445D" w:rsidP="00B2445D">
      <w:pPr>
        <w:pStyle w:val="NormalWeb"/>
        <w:ind w:firstLine="567"/>
        <w:jc w:val="both"/>
        <w:rPr>
          <w:rFonts w:ascii="Times New Roman" w:hAnsi="Times New Roman"/>
          <w:strike/>
          <w:lang w:val="pt-PT"/>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w:t>
      </w:r>
      <w:proofErr w:type="gramStart"/>
      <w:r>
        <w:rPr>
          <w:rFonts w:ascii="Times New Roman" w:hAnsi="Times New Roman"/>
          <w:b/>
        </w:rPr>
        <w:t>7º, 8º e 9º</w:t>
      </w:r>
      <w:proofErr w:type="gramEnd"/>
      <w:r>
        <w:rPr>
          <w:rFonts w:ascii="Times New Roman" w:hAnsi="Times New Roman"/>
          <w:b/>
        </w:rPr>
        <w:t xml:space="preserve"> revogados pela Instrução CVM nº 450, de 30 de março de 2007.</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 7º</w:t>
      </w:r>
      <w:proofErr w:type="gramStart"/>
      <w:r>
        <w:rPr>
          <w:rFonts w:ascii="Times New Roman" w:hAnsi="Times New Roman"/>
        </w:rPr>
        <w:t xml:space="preserve">  </w:t>
      </w:r>
      <w:proofErr w:type="gramEnd"/>
      <w:r>
        <w:rPr>
          <w:rFonts w:ascii="Times New Roman" w:hAnsi="Times New Roman"/>
        </w:rPr>
        <w:t>Caso a política de investimento contemple a possibilidade de alocação de mais de 30% (trinta por cento) do patrimônio líquido do fundo nos ativos discriminados no art. 98, o prospecto deverá conter destaque sobre esta possibilidade.</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
        </w:numPr>
        <w:ind w:left="0" w:firstLine="567"/>
        <w:jc w:val="both"/>
        <w:rPr>
          <w:rFonts w:ascii="Times New Roman" w:hAnsi="Times New Roman"/>
          <w:b/>
        </w:rPr>
      </w:pPr>
      <w:r>
        <w:rPr>
          <w:rFonts w:ascii="Times New Roman" w:hAnsi="Times New Roman"/>
          <w:b/>
        </w:rPr>
        <w:t>§7º</w:t>
      </w:r>
      <w:proofErr w:type="gramStart"/>
      <w:r>
        <w:rPr>
          <w:rFonts w:ascii="Times New Roman" w:hAnsi="Times New Roman"/>
          <w:b/>
        </w:rPr>
        <w:t xml:space="preserve">  </w:t>
      </w:r>
      <w:proofErr w:type="gramEnd"/>
      <w:r>
        <w:rPr>
          <w:rFonts w:ascii="Times New Roman" w:hAnsi="Times New Roman"/>
          <w:b/>
        </w:rPr>
        <w:t xml:space="preserve">acrescentado pela Instrução CVM nº 456, de 22 de junho de 2007. </w:t>
      </w:r>
    </w:p>
    <w:p w:rsidR="00B2445D" w:rsidRDefault="00B2445D" w:rsidP="00B2445D">
      <w:pPr>
        <w:pStyle w:val="NormalWeb"/>
        <w:jc w:val="both"/>
        <w:rPr>
          <w:rFonts w:ascii="Times New Roman" w:hAnsi="Times New Roman"/>
          <w:b/>
        </w:rPr>
      </w:pP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center"/>
        <w:rPr>
          <w:rFonts w:ascii="Times New Roman" w:hAnsi="Times New Roman"/>
        </w:rPr>
      </w:pPr>
      <w:proofErr w:type="gramStart"/>
      <w:r>
        <w:rPr>
          <w:rFonts w:ascii="Times New Roman" w:hAnsi="Times New Roman"/>
        </w:rPr>
        <w:t>Seção VI</w:t>
      </w:r>
      <w:proofErr w:type="gramEnd"/>
    </w:p>
    <w:p w:rsidR="00B2445D" w:rsidRDefault="00B2445D" w:rsidP="00B2445D">
      <w:pPr>
        <w:pStyle w:val="NormalWeb"/>
        <w:ind w:firstLine="567"/>
        <w:jc w:val="center"/>
        <w:rPr>
          <w:rFonts w:ascii="Times New Roman" w:hAnsi="Times New Roman"/>
        </w:rPr>
      </w:pPr>
      <w:bookmarkStart w:id="36" w:name="_DV_C51"/>
      <w:r>
        <w:rPr>
          <w:rFonts w:ascii="Times New Roman" w:hAnsi="Times New Roman"/>
        </w:rPr>
        <w:t>Da Lâmina de Informações Essenciais</w:t>
      </w:r>
      <w:bookmarkEnd w:id="36"/>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Seção VI incluída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bookmarkStart w:id="37" w:name="_DV_C52"/>
      <w:r>
        <w:rPr>
          <w:rFonts w:ascii="Times New Roman" w:hAnsi="Times New Roman"/>
        </w:rPr>
        <w:t>Art. 40-A.</w:t>
      </w:r>
      <w:proofErr w:type="gramStart"/>
      <w:r>
        <w:rPr>
          <w:rFonts w:ascii="Times New Roman" w:hAnsi="Times New Roman"/>
        </w:rPr>
        <w:t xml:space="preserve">  </w:t>
      </w:r>
      <w:proofErr w:type="gramEnd"/>
      <w:r>
        <w:rPr>
          <w:rFonts w:ascii="Times New Roman" w:hAnsi="Times New Roman"/>
        </w:rPr>
        <w:t>O administrador de fundo aberto que não seja destinado exclusivamente a investidores qualificados deve elaborar uma lâmina de informações essenciais na forma do Anexo III a esta Instrução.</w:t>
      </w:r>
      <w:bookmarkEnd w:id="37"/>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38" w:name="_DV_C53"/>
      <w:r>
        <w:rPr>
          <w:rFonts w:ascii="Times New Roman" w:hAnsi="Times New Roman"/>
        </w:rPr>
        <w:t>Parágrafo único.  É facultado ao administrador de fundo formatar a lâmina livremente desde que:</w:t>
      </w:r>
      <w:bookmarkEnd w:id="3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39" w:name="_DV_C54"/>
      <w:r>
        <w:rPr>
          <w:rFonts w:ascii="Times New Roman" w:hAnsi="Times New Roman"/>
        </w:rPr>
        <w:t>I – a ordem das informações seja mantida;</w:t>
      </w:r>
      <w:bookmarkEnd w:id="3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40" w:name="_DV_C55"/>
      <w:r>
        <w:rPr>
          <w:rFonts w:ascii="Times New Roman" w:hAnsi="Times New Roman"/>
        </w:rPr>
        <w:lastRenderedPageBreak/>
        <w:t xml:space="preserve">II – o conteúdo do Anexo III não seja modificado; </w:t>
      </w:r>
      <w:bookmarkEnd w:id="4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41" w:name="_DV_C56"/>
      <w:r>
        <w:rPr>
          <w:rFonts w:ascii="Times New Roman" w:hAnsi="Times New Roman"/>
        </w:rPr>
        <w:t xml:space="preserve">III – os logotipos e formatação não dificultem o entendimento das informações; </w:t>
      </w:r>
      <w:proofErr w:type="gramStart"/>
      <w:r>
        <w:rPr>
          <w:rFonts w:ascii="Times New Roman" w:hAnsi="Times New Roman"/>
        </w:rPr>
        <w:t>e</w:t>
      </w:r>
      <w:bookmarkEnd w:id="41"/>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42" w:name="_DV_C57"/>
      <w:r>
        <w:rPr>
          <w:rFonts w:ascii="Times New Roman" w:hAnsi="Times New Roman"/>
        </w:rPr>
        <w:t>IV – quaisquer informações adicionais:</w:t>
      </w:r>
      <w:bookmarkEnd w:id="42"/>
    </w:p>
    <w:p w:rsidR="00B2445D" w:rsidRDefault="00B2445D" w:rsidP="00B2445D">
      <w:pPr>
        <w:pStyle w:val="NormalWeb"/>
        <w:ind w:firstLine="567"/>
        <w:jc w:val="both"/>
        <w:rPr>
          <w:rFonts w:ascii="Times New Roman" w:hAnsi="Times New Roman"/>
        </w:rPr>
      </w:pPr>
      <w:bookmarkStart w:id="43" w:name="_DV_C58"/>
    </w:p>
    <w:p w:rsidR="00B2445D" w:rsidRDefault="00B2445D" w:rsidP="00B2445D">
      <w:pPr>
        <w:pStyle w:val="NormalWeb"/>
        <w:ind w:firstLine="567"/>
        <w:jc w:val="both"/>
        <w:rPr>
          <w:rFonts w:ascii="Times New Roman" w:hAnsi="Times New Roman"/>
        </w:rPr>
      </w:pPr>
      <w:bookmarkStart w:id="44" w:name="_DV_C59"/>
      <w:bookmarkEnd w:id="43"/>
      <w:r>
        <w:rPr>
          <w:rFonts w:ascii="Times New Roman" w:hAnsi="Times New Roman"/>
        </w:rPr>
        <w:t>a) sejam acrescentadas ao final do documento;</w:t>
      </w:r>
      <w:bookmarkEnd w:id="44"/>
    </w:p>
    <w:p w:rsidR="00B2445D" w:rsidRDefault="00B2445D" w:rsidP="00B2445D">
      <w:pPr>
        <w:pStyle w:val="NormalWeb"/>
        <w:ind w:firstLine="567"/>
        <w:jc w:val="both"/>
        <w:rPr>
          <w:rFonts w:ascii="Times New Roman" w:hAnsi="Times New Roman"/>
        </w:rPr>
      </w:pPr>
      <w:bookmarkStart w:id="45" w:name="_DV_C60"/>
    </w:p>
    <w:p w:rsidR="00B2445D" w:rsidRDefault="00B2445D" w:rsidP="00B2445D">
      <w:pPr>
        <w:pStyle w:val="NormalWeb"/>
        <w:ind w:firstLine="567"/>
        <w:jc w:val="both"/>
        <w:rPr>
          <w:rFonts w:ascii="Times New Roman" w:hAnsi="Times New Roman"/>
        </w:rPr>
      </w:pPr>
      <w:bookmarkStart w:id="46" w:name="_DV_C61"/>
      <w:bookmarkEnd w:id="45"/>
      <w:r>
        <w:rPr>
          <w:rFonts w:ascii="Times New Roman" w:hAnsi="Times New Roman"/>
        </w:rPr>
        <w:t xml:space="preserve">b) não dificultem o entendimento das informações contidas na lâmina; </w:t>
      </w:r>
      <w:proofErr w:type="gramStart"/>
      <w:r>
        <w:rPr>
          <w:rFonts w:ascii="Times New Roman" w:hAnsi="Times New Roman"/>
        </w:rPr>
        <w:t>e</w:t>
      </w:r>
      <w:bookmarkEnd w:id="46"/>
      <w:proofErr w:type="gramEnd"/>
    </w:p>
    <w:p w:rsidR="00B2445D" w:rsidRDefault="00B2445D" w:rsidP="00B2445D">
      <w:pPr>
        <w:pStyle w:val="NormalWeb"/>
        <w:ind w:firstLine="567"/>
        <w:jc w:val="both"/>
        <w:rPr>
          <w:rFonts w:ascii="Times New Roman" w:hAnsi="Times New Roman"/>
        </w:rPr>
      </w:pPr>
      <w:bookmarkStart w:id="47" w:name="_DV_C62"/>
    </w:p>
    <w:p w:rsidR="00B2445D" w:rsidRDefault="00B2445D" w:rsidP="00B2445D">
      <w:pPr>
        <w:pStyle w:val="NormalWeb"/>
        <w:ind w:firstLine="567"/>
        <w:jc w:val="both"/>
        <w:rPr>
          <w:rFonts w:ascii="Times New Roman" w:hAnsi="Times New Roman"/>
        </w:rPr>
      </w:pPr>
      <w:bookmarkStart w:id="48" w:name="_DV_C63"/>
      <w:bookmarkEnd w:id="47"/>
      <w:r>
        <w:rPr>
          <w:rFonts w:ascii="Times New Roman" w:hAnsi="Times New Roman"/>
        </w:rPr>
        <w:t xml:space="preserve">c) sejam consistentes com o conteúdo da lâmina e do prospecto. </w:t>
      </w:r>
      <w:bookmarkEnd w:id="4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40-B.</w:t>
      </w:r>
      <w:proofErr w:type="gramStart"/>
      <w:r>
        <w:rPr>
          <w:rFonts w:ascii="Times New Roman" w:hAnsi="Times New Roman"/>
        </w:rPr>
        <w:t xml:space="preserve">  </w:t>
      </w:r>
      <w:proofErr w:type="gramEnd"/>
      <w:r>
        <w:rPr>
          <w:rFonts w:ascii="Times New Roman" w:hAnsi="Times New Roman"/>
        </w:rPr>
        <w:t>A lâmina deve ser atualizada mensalmente até o dia 10 (dez) de cada mês com os dados relativos ao mês imediatamente anterior.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49" w:name="_DV_C65"/>
      <w:r>
        <w:rPr>
          <w:rFonts w:ascii="Times New Roman" w:hAnsi="Times New Roman"/>
        </w:rPr>
        <w:t>Parágrafo único.  O administrador do fundo deve enviar a lâmina à CVM, por meio de sistema eletrônico disponível na página da CVM na rede mundial de computadores, sempre que esta for atualizada, na mesma data de sua atualização.</w:t>
      </w:r>
      <w:bookmarkEnd w:id="4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50" w:name="_DV_C66"/>
      <w:r>
        <w:rPr>
          <w:rFonts w:ascii="Times New Roman" w:hAnsi="Times New Roman"/>
        </w:rPr>
        <w:t>Art. 40-C.</w:t>
      </w:r>
      <w:proofErr w:type="gramStart"/>
      <w:r>
        <w:rPr>
          <w:rFonts w:ascii="Times New Roman" w:hAnsi="Times New Roman"/>
        </w:rPr>
        <w:t xml:space="preserve">  </w:t>
      </w:r>
      <w:proofErr w:type="gramEnd"/>
      <w:r>
        <w:rPr>
          <w:rFonts w:ascii="Times New Roman" w:hAnsi="Times New Roman"/>
        </w:rPr>
        <w:t>O administrador deve:</w:t>
      </w:r>
      <w:bookmarkEnd w:id="5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51" w:name="_DV_C67"/>
      <w:r>
        <w:rPr>
          <w:rFonts w:ascii="Times New Roman" w:hAnsi="Times New Roman"/>
        </w:rPr>
        <w:t xml:space="preserve">I – entregar a lâmina para o futuro cotista antes de seu ingresso no fundo; </w:t>
      </w:r>
      <w:proofErr w:type="gramStart"/>
      <w:r>
        <w:rPr>
          <w:rFonts w:ascii="Times New Roman" w:hAnsi="Times New Roman"/>
        </w:rPr>
        <w:t>e</w:t>
      </w:r>
      <w:bookmarkEnd w:id="51"/>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52" w:name="_DV_C68"/>
      <w:r>
        <w:rPr>
          <w:rFonts w:ascii="Times New Roman" w:hAnsi="Times New Roman"/>
        </w:rPr>
        <w:lastRenderedPageBreak/>
        <w:t>II – divulgar, em lugar de destaque na sua página na rede mundial de computadores e sem proteção de senha, a lâmina atualizada.</w:t>
      </w:r>
      <w:bookmarkEnd w:id="52"/>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proofErr w:type="spellStart"/>
      <w:r>
        <w:rPr>
          <w:rFonts w:ascii="Times New Roman" w:hAnsi="Times New Roman"/>
          <w:b/>
        </w:rPr>
        <w:t>Arts</w:t>
      </w:r>
      <w:proofErr w:type="spellEnd"/>
      <w:r>
        <w:rPr>
          <w:rFonts w:ascii="Times New Roman" w:hAnsi="Times New Roman"/>
          <w:b/>
        </w:rPr>
        <w:t>. 40-</w:t>
      </w:r>
      <w:proofErr w:type="gramStart"/>
      <w:r>
        <w:rPr>
          <w:rFonts w:ascii="Times New Roman" w:hAnsi="Times New Roman"/>
          <w:b/>
        </w:rPr>
        <w:t>A a</w:t>
      </w:r>
      <w:proofErr w:type="gramEnd"/>
      <w:r>
        <w:rPr>
          <w:rFonts w:ascii="Times New Roman" w:hAnsi="Times New Roman"/>
          <w:b/>
        </w:rPr>
        <w:t xml:space="preserve"> 40-C incluídos pela Instrução CVM nº 522, de 8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IV</w:t>
      </w:r>
    </w:p>
    <w:p w:rsidR="00B2445D" w:rsidRDefault="00B2445D" w:rsidP="00B2445D">
      <w:pPr>
        <w:pStyle w:val="NormalWeb"/>
        <w:ind w:firstLine="567"/>
        <w:jc w:val="center"/>
        <w:rPr>
          <w:rFonts w:ascii="Times New Roman" w:hAnsi="Times New Roman"/>
          <w:b/>
        </w:rPr>
      </w:pPr>
      <w:r>
        <w:rPr>
          <w:rFonts w:ascii="Times New Roman" w:hAnsi="Times New Roman"/>
          <w:b/>
        </w:rPr>
        <w:t>DO REGULAMENTO DO FUNDO</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Das Disposições Obrigatórias do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41.  O regulamento deve, obrigatoriamente, dispor sobre: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qualificação do administrador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quando for o caso, referência à qualificação do gestor da carteira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qualificação do </w:t>
      </w:r>
      <w:proofErr w:type="spellStart"/>
      <w:r>
        <w:rPr>
          <w:rFonts w:ascii="Times New Roman" w:hAnsi="Times New Roman"/>
        </w:rPr>
        <w:t>custodiante</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espécie do fundo, se aberto ou fechado;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V – prazo de duração, se determinado ou indeterminado;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política de investimento, de forma a caracterizar a classe do fundo, em conformidade com o disposto no art. 92;</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rPr>
      </w:pPr>
      <w:r>
        <w:rPr>
          <w:rFonts w:ascii="Times New Roman" w:hAnsi="Times New Roman"/>
        </w:rPr>
        <w:t xml:space="preserve"> </w:t>
      </w:r>
      <w:proofErr w:type="gramStart"/>
      <w:r>
        <w:rPr>
          <w:rFonts w:ascii="Times New Roman" w:hAnsi="Times New Roman"/>
          <w:b/>
        </w:rPr>
        <w:t>Inciso VI</w:t>
      </w:r>
      <w:proofErr w:type="gramEnd"/>
      <w:r>
        <w:rPr>
          <w:rFonts w:ascii="Times New Roman" w:hAnsi="Times New Roman"/>
          <w:b/>
        </w:rPr>
        <w:t xml:space="preserve"> com redação dada pela Instrução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taxa de administração, fixa e expressa em percentual anual do patrimônio líquido (base 252 dias);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VIII – taxas de </w:t>
      </w:r>
      <w:proofErr w:type="gramStart"/>
      <w:r>
        <w:rPr>
          <w:rFonts w:ascii="Times New Roman" w:hAnsi="Times New Roman"/>
          <w:strike/>
        </w:rPr>
        <w:t>performance</w:t>
      </w:r>
      <w:proofErr w:type="gramEnd"/>
      <w:r>
        <w:rPr>
          <w:rFonts w:ascii="Times New Roman" w:hAnsi="Times New Roman"/>
          <w:strike/>
        </w:rPr>
        <w:t xml:space="preserve">, de ingresso e de saída;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taxa de </w:t>
      </w:r>
      <w:proofErr w:type="gramStart"/>
      <w:r>
        <w:rPr>
          <w:rFonts w:ascii="Times New Roman" w:hAnsi="Times New Roman"/>
        </w:rPr>
        <w:t>performance</w:t>
      </w:r>
      <w:proofErr w:type="gramEnd"/>
      <w:r>
        <w:rPr>
          <w:rFonts w:ascii="Times New Roman" w:hAnsi="Times New Roman"/>
        </w:rPr>
        <w:t>, de ingresso e de saída, observado o disposto no art. 62;</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2"/>
        </w:numPr>
        <w:ind w:left="0" w:firstLine="567"/>
        <w:jc w:val="both"/>
        <w:rPr>
          <w:rFonts w:ascii="Times New Roman" w:hAnsi="Times New Roman"/>
          <w:b/>
        </w:rPr>
      </w:pPr>
      <w:r>
        <w:rPr>
          <w:rFonts w:ascii="Times New Roman" w:hAnsi="Times New Roman"/>
          <w:b/>
        </w:rPr>
        <w:t>Inciso VIII com redação dada pela Instrução CVM nº 413, de 30 de dezembro de 2004.</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IX – demais despesas do fundo, em conformidade com o disposto no art.99;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 – condições para a aplicação e o resgate de cotas;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X – condições para a aplicação e o resgate de cotas, inclusive quanto ao disposto no art. 10, §3º;</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Inciso X com redação dada pela Instrução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 – distribuição de resultados;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 – público alvo;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XIII – referência ao estabelecimento de intervalo para a atualização do valor da cota, quando for o caso;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XIV – exercício social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XV – política de divulgação de informações a interessados, inclusive as relativas à composição de carteira;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 – política de divulgação de informações, inclusive as relativas à composição de carteira;</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Inciso XV com redação dada pela Instrução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XVI – política relativa ao exercício de direito do voto do fundo, pelo administrador ou por seus representantes legalmente constituídos, em </w:t>
      </w:r>
      <w:proofErr w:type="spellStart"/>
      <w:r>
        <w:rPr>
          <w:rFonts w:ascii="Times New Roman" w:hAnsi="Times New Roman"/>
          <w:strike/>
        </w:rPr>
        <w:t>assembléias</w:t>
      </w:r>
      <w:proofErr w:type="spellEnd"/>
      <w:r>
        <w:rPr>
          <w:rFonts w:ascii="Times New Roman" w:hAnsi="Times New Roman"/>
          <w:strike/>
        </w:rPr>
        <w:t xml:space="preserve"> gerais das companhias nas quais o fundo detenha participação;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XVI – política relativa ao exercício de direito do voto </w:t>
      </w:r>
      <w:bookmarkStart w:id="53" w:name="_DV_C71"/>
      <w:r>
        <w:rPr>
          <w:rFonts w:ascii="Times New Roman" w:hAnsi="Times New Roman"/>
        </w:rPr>
        <w:t>decorrente dos ativos financeiros detidos pelo fundo</w:t>
      </w:r>
      <w:bookmarkStart w:id="54" w:name="_DV_M266"/>
      <w:bookmarkEnd w:id="53"/>
      <w:bookmarkEnd w:id="54"/>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XVI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XVII – informação sobre a tributação aplicável ao fundo e a seus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XVIII - política de administração de risco, com a descrição dos métodos utilizados pelo administrador para gerenciar os riscos a que o fundo se encontra sujeito.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67"/>
        <w:jc w:val="both"/>
        <w:rPr>
          <w:rFonts w:ascii="Times New Roman" w:hAnsi="Times New Roman"/>
          <w:b/>
          <w:strike/>
        </w:rPr>
      </w:pPr>
      <w:r>
        <w:rPr>
          <w:rFonts w:ascii="Times New Roman" w:hAnsi="Times New Roman"/>
          <w:b/>
          <w:strike/>
        </w:rPr>
        <w:t xml:space="preserve">Inciso XVIII acrescentado pela Instrução CVM nº 450, de 30 de março de </w:t>
      </w:r>
      <w:proofErr w:type="gramStart"/>
      <w:r>
        <w:rPr>
          <w:rFonts w:ascii="Times New Roman" w:hAnsi="Times New Roman"/>
          <w:b/>
          <w:strike/>
        </w:rPr>
        <w:t>2007</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XVIII – </w:t>
      </w:r>
      <w:proofErr w:type="gramStart"/>
      <w:r>
        <w:rPr>
          <w:rFonts w:ascii="Times New Roman" w:hAnsi="Times New Roman"/>
        </w:rPr>
        <w:t>política de administração de risco, com a descrição dos métodos utilizados pelo administrador para gerenciar os riscos a que o fundo se encontra sujeito, inclusive risco</w:t>
      </w:r>
      <w:proofErr w:type="gramEnd"/>
      <w:r>
        <w:rPr>
          <w:rFonts w:ascii="Times New Roman" w:hAnsi="Times New Roman"/>
        </w:rPr>
        <w:t xml:space="preserve"> de liquidez.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XVIII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Na definição da política de investimento exigida no inciso VI do caput, devem ser prestadas informações sobre: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o percentual máximo de aplicação em títulos e valores mobiliários de emissão do administrador, gestor ou de empresa a eles </w:t>
      </w:r>
      <w:proofErr w:type="gramStart"/>
      <w:r>
        <w:rPr>
          <w:rFonts w:ascii="Times New Roman" w:hAnsi="Times New Roman"/>
          <w:strike/>
        </w:rPr>
        <w:t>ligada, observado</w:t>
      </w:r>
      <w:proofErr w:type="gramEnd"/>
      <w:r>
        <w:rPr>
          <w:rFonts w:ascii="Times New Roman" w:hAnsi="Times New Roman"/>
          <w:strike/>
        </w:rPr>
        <w:t xml:space="preserve"> o disposto </w:t>
      </w:r>
      <w:r>
        <w:rPr>
          <w:rFonts w:ascii="Times New Roman" w:hAnsi="Times New Roman"/>
          <w:strike/>
          <w:lang w:val="pt-PT"/>
        </w:rPr>
        <w:t>no</w:t>
      </w:r>
      <w:r>
        <w:rPr>
          <w:rFonts w:ascii="Times New Roman" w:hAnsi="Times New Roman"/>
          <w:strike/>
        </w:rPr>
        <w:t xml:space="preserve"> art. 87;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I – o percentual máximo de aplicação em títulos e valores mobiliários de emissão do administrador, gestor ou de empresa a eles </w:t>
      </w:r>
      <w:proofErr w:type="gramStart"/>
      <w:r>
        <w:rPr>
          <w:rFonts w:ascii="Times New Roman" w:hAnsi="Times New Roman"/>
          <w:strike/>
        </w:rPr>
        <w:t>ligada, observado</w:t>
      </w:r>
      <w:proofErr w:type="gramEnd"/>
      <w:r>
        <w:rPr>
          <w:rFonts w:ascii="Times New Roman" w:hAnsi="Times New Roman"/>
          <w:strike/>
        </w:rPr>
        <w:t xml:space="preserve"> o disposto no artigo 86 desta Instrução;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67"/>
        <w:jc w:val="both"/>
        <w:rPr>
          <w:rFonts w:ascii="Times New Roman" w:hAnsi="Times New Roman"/>
          <w:b/>
          <w:strike/>
        </w:rPr>
      </w:pPr>
      <w:r>
        <w:rPr>
          <w:rFonts w:ascii="Times New Roman" w:hAnsi="Times New Roman"/>
          <w:b/>
          <w:strike/>
        </w:rPr>
        <w:t xml:space="preserve">Inciso I com redação dada pela Instrução CVM nº 450, de 30 de março de </w:t>
      </w:r>
      <w:proofErr w:type="gramStart"/>
      <w:r>
        <w:rPr>
          <w:rFonts w:ascii="Times New Roman" w:hAnsi="Times New Roman"/>
          <w:b/>
          <w:strike/>
        </w:rPr>
        <w:t>2007</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o percentual máximo de aplicação em </w:t>
      </w:r>
      <w:bookmarkStart w:id="55" w:name="_DV_C75"/>
      <w:r>
        <w:rPr>
          <w:rFonts w:ascii="Times New Roman" w:hAnsi="Times New Roman"/>
        </w:rPr>
        <w:t>ativos financeiros</w:t>
      </w:r>
      <w:bookmarkStart w:id="56" w:name="_DV_M272"/>
      <w:bookmarkEnd w:id="55"/>
      <w:bookmarkEnd w:id="56"/>
      <w:r>
        <w:rPr>
          <w:rFonts w:ascii="Times New Roman" w:hAnsi="Times New Roman"/>
        </w:rPr>
        <w:t xml:space="preserve"> de emissão do administrador, gestor ou de empresa a eles </w:t>
      </w:r>
      <w:proofErr w:type="gramStart"/>
      <w:r>
        <w:rPr>
          <w:rFonts w:ascii="Times New Roman" w:hAnsi="Times New Roman"/>
        </w:rPr>
        <w:t>ligada, observado</w:t>
      </w:r>
      <w:proofErr w:type="gramEnd"/>
      <w:r>
        <w:rPr>
          <w:rFonts w:ascii="Times New Roman" w:hAnsi="Times New Roman"/>
        </w:rPr>
        <w:t xml:space="preserve"> o disposto no </w:t>
      </w:r>
      <w:bookmarkStart w:id="57" w:name="_DV_C78"/>
      <w:r>
        <w:rPr>
          <w:rFonts w:ascii="Times New Roman" w:hAnsi="Times New Roman"/>
        </w:rPr>
        <w:t>art.</w:t>
      </w:r>
      <w:bookmarkStart w:id="58" w:name="_DV_M273"/>
      <w:bookmarkEnd w:id="57"/>
      <w:bookmarkEnd w:id="58"/>
      <w:r>
        <w:rPr>
          <w:rFonts w:ascii="Times New Roman" w:hAnsi="Times New Roman"/>
        </w:rPr>
        <w:t xml:space="preserve"> 86 desta Instrução;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o percentual máximo de aplicação em cotas de fundos de investimento administrados pelo administrador, gestor ou empresa a eles ligada;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III – o percentual máximo de aplicação em títulos e valores mobiliários de um mesmo emissor, observados os limites do</w:t>
      </w:r>
      <w:proofErr w:type="gramStart"/>
      <w:r>
        <w:rPr>
          <w:rFonts w:ascii="Times New Roman" w:hAnsi="Times New Roman"/>
          <w:strike/>
        </w:rPr>
        <w:t xml:space="preserve">  </w:t>
      </w:r>
      <w:proofErr w:type="gramEnd"/>
      <w:r>
        <w:rPr>
          <w:rFonts w:ascii="Times New Roman" w:hAnsi="Times New Roman"/>
          <w:strike/>
        </w:rPr>
        <w:t>art. 88, se for o caso; e</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o percentual máximo de aplicação em títulos e valores mobiliários de um mesmo emissor, observados os limites do art. 86 desta Instrução;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67"/>
        <w:jc w:val="both"/>
        <w:rPr>
          <w:rFonts w:ascii="Times New Roman" w:hAnsi="Times New Roman"/>
          <w:b/>
          <w:strike/>
        </w:rPr>
      </w:pPr>
      <w:r>
        <w:rPr>
          <w:rFonts w:ascii="Times New Roman" w:hAnsi="Times New Roman"/>
          <w:b/>
          <w:strike/>
        </w:rPr>
        <w:t xml:space="preserve">Inciso III com redação dada pela Instrução CVM nº 450, de 30 de março de </w:t>
      </w:r>
      <w:proofErr w:type="gramStart"/>
      <w:r>
        <w:rPr>
          <w:rFonts w:ascii="Times New Roman" w:hAnsi="Times New Roman"/>
          <w:b/>
          <w:strike/>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o percentual máximo de aplicação em </w:t>
      </w:r>
      <w:bookmarkStart w:id="59" w:name="_DV_C80"/>
      <w:r>
        <w:rPr>
          <w:rFonts w:ascii="Times New Roman" w:hAnsi="Times New Roman"/>
        </w:rPr>
        <w:t>ativos financeiros</w:t>
      </w:r>
      <w:bookmarkStart w:id="60" w:name="_DV_M276"/>
      <w:bookmarkEnd w:id="59"/>
      <w:bookmarkEnd w:id="60"/>
      <w:r>
        <w:rPr>
          <w:rFonts w:ascii="Times New Roman" w:hAnsi="Times New Roman"/>
        </w:rPr>
        <w:t xml:space="preserve"> de um mesmo emissor, observados os limites do art. 86 desta Instrução;</w:t>
      </w:r>
      <w:bookmarkStart w:id="61" w:name="_DV_M277"/>
      <w:bookmarkEnd w:id="61"/>
      <w:r>
        <w:rPr>
          <w:rFonts w:ascii="Times New Roman" w:hAnsi="Times New Roman"/>
        </w:rPr>
        <w:t xml:space="preserve"> </w:t>
      </w:r>
      <w:proofErr w:type="gramStart"/>
      <w:r>
        <w:rPr>
          <w:rFonts w:ascii="Times New Roman" w:hAnsi="Times New Roman"/>
        </w:rPr>
        <w:t>e</w:t>
      </w:r>
      <w:proofErr w:type="gramEnd"/>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Inciso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o propósito do fundo de realizar operações em valor superior ao seu patrimônio, com a indicação de seus níveis de exposição em mercados de risco.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Na definição da política de divulgação de informações referida no inciso XV do caput deverão ser definidos: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A política de divulgação de informações referida no inciso XV do caput deverá abranger pelo menos o seguinte:</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§2º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a periodicidade mínima para divulgação da composição da carteira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 nível de detalhamento das informações;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o local e meio de solicitação e divulgação das informações.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A política de divulgação deverá ser idêntica para todos os cotistas, consultores de investimento, agências classificadoras e demais interessados, sendo certo que a alteração da política de divulgação deverá ser divulgada como fato relevante.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§3º</w:t>
      </w:r>
      <w:proofErr w:type="gramStart"/>
      <w:r>
        <w:rPr>
          <w:rFonts w:ascii="Times New Roman" w:hAnsi="Times New Roman"/>
          <w:strike/>
        </w:rPr>
        <w:t xml:space="preserve">  </w:t>
      </w:r>
      <w:proofErr w:type="gramEnd"/>
      <w:r>
        <w:rPr>
          <w:rFonts w:ascii="Times New Roman" w:hAnsi="Times New Roman"/>
          <w:strike/>
        </w:rPr>
        <w:t>A política de divulgação deverá ser idêntica para todos os consultores de investimento, agências classificadoras e demais interessados, sendo certo que a alteração da política de divulgação deverá ser divulgada como fato relevante.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3"/>
        </w:numPr>
        <w:ind w:left="0" w:firstLine="567"/>
        <w:jc w:val="both"/>
        <w:rPr>
          <w:rFonts w:ascii="Times New Roman" w:hAnsi="Times New Roman"/>
          <w:b/>
        </w:rPr>
      </w:pPr>
      <w:r>
        <w:rPr>
          <w:rFonts w:ascii="Times New Roman" w:hAnsi="Times New Roman"/>
          <w:b/>
          <w:strike/>
        </w:rPr>
        <w:t>§3º</w:t>
      </w:r>
      <w:proofErr w:type="gramStart"/>
      <w:r>
        <w:rPr>
          <w:rFonts w:ascii="Times New Roman" w:hAnsi="Times New Roman"/>
          <w:b/>
          <w:strike/>
        </w:rPr>
        <w:t xml:space="preserve">  </w:t>
      </w:r>
      <w:proofErr w:type="gramEnd"/>
      <w:r>
        <w:rPr>
          <w:rFonts w:ascii="Times New Roman" w:hAnsi="Times New Roman"/>
          <w:b/>
          <w:strike/>
        </w:rPr>
        <w:t>com redação dada pela Instrução CVM nº 411, de 26 de novembro de 2004.</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A política de divulgação deverá ser idêntica para todos os consultores de investimento, agências classificadoras e demais interessados.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3"/>
        </w:numPr>
        <w:ind w:left="0" w:firstLine="567"/>
        <w:jc w:val="both"/>
        <w:rPr>
          <w:rFonts w:ascii="Times New Roman" w:hAnsi="Times New Roman"/>
        </w:rPr>
      </w:pPr>
      <w:r>
        <w:rPr>
          <w:rFonts w:ascii="Times New Roman" w:hAnsi="Times New Roman"/>
          <w:b/>
        </w:rPr>
        <w:t xml:space="preserve">§3º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Será sempre conferido tratamento idêntico ao conjunto dos cotistas quanto à divulgação de informações, observadas as disposições desta instrução e, se for o caso, aquelas constantes da política de divulgação que a eles se refiram.</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§4º acrescentado pela Instrução CVM nº 411, de 26 de novembro de 2004. </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§5º</w:t>
      </w:r>
      <w:proofErr w:type="gramStart"/>
      <w:r>
        <w:rPr>
          <w:rFonts w:ascii="Times New Roman" w:hAnsi="Times New Roman"/>
          <w:strike/>
        </w:rPr>
        <w:t xml:space="preserve">  </w:t>
      </w:r>
      <w:proofErr w:type="gramEnd"/>
      <w:r>
        <w:rPr>
          <w:rFonts w:ascii="Times New Roman" w:hAnsi="Times New Roman"/>
          <w:strike/>
        </w:rPr>
        <w:t>Se o fundo contratar agência classificadora de risco, as informações a ela fornecidas poderão abranger aquelas fornecidas aos cotistas.</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15"/>
        </w:numPr>
        <w:ind w:left="0" w:firstLine="567"/>
        <w:jc w:val="both"/>
        <w:rPr>
          <w:rFonts w:ascii="Times New Roman" w:hAnsi="Times New Roman"/>
          <w:b/>
          <w:strike/>
        </w:rPr>
      </w:pPr>
      <w:r>
        <w:rPr>
          <w:rFonts w:ascii="Times New Roman" w:hAnsi="Times New Roman"/>
          <w:b/>
          <w:strike/>
        </w:rPr>
        <w:t>§5º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Se o fundo contratar agência classificadora de risco: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 – a remuneração da agência classificadora constituirá despesa do administrador;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o contrato deverá conter cláusula obrigando a agência classificadora de risco a, imediatamente, divulgar em sua página na rede mundial de computadores e comunicar à CVM e ao administrador qualquer alteração da classificação do fundo, ou a rescisão do contrato;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na hipótese de que trata o inciso II o administrador deverá, imediatamente, divulgar fato relevante ao mercado;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as informações a ela fornecidas poderão abranger aquelas fornecidas aos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§5º com redação dada pela Instrução CVM nº 450, de 30 de março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highlight w:val="yellow"/>
        </w:rPr>
      </w:pPr>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A rescisão do contrato firmado com agência classificadora de risco somente será admitida mediante a observância de período de carência de 180 (cento e oitenta) dias, sendo obrigatória a apresentação, ao final desse período, de relatório de classificação de risco elaborado pela mesma agência.</w:t>
      </w:r>
    </w:p>
    <w:p w:rsidR="00B2445D" w:rsidRDefault="00B2445D" w:rsidP="00B2445D">
      <w:pPr>
        <w:pStyle w:val="NormalWeb"/>
        <w:ind w:firstLine="567"/>
        <w:jc w:val="both"/>
        <w:rPr>
          <w:rFonts w:ascii="Times New Roman" w:hAnsi="Times New Roman"/>
          <w:highlight w:val="yellow"/>
        </w:rPr>
      </w:pPr>
    </w:p>
    <w:p w:rsidR="00B2445D" w:rsidRDefault="00B2445D" w:rsidP="00B2445D">
      <w:pPr>
        <w:pStyle w:val="NormalWeb"/>
        <w:ind w:firstLine="567"/>
        <w:jc w:val="both"/>
        <w:rPr>
          <w:rFonts w:ascii="Times New Roman" w:hAnsi="Times New Roman"/>
        </w:rPr>
      </w:pPr>
      <w:r>
        <w:rPr>
          <w:rFonts w:ascii="Times New Roman" w:hAnsi="Times New Roman"/>
        </w:rPr>
        <w:t>§7º Verificando-se a hipótese de que trata o §6º, o prospecto deverá, a partir da data da rescisão, incluir um resumo do último relatório elaborado pela agência classificadora, o histórico das notas obtidas pelo fundo, a indicação do endereço eletrônico no qual a versão integral do relatório pode ser consultada e a informação de que ele também está disponível na sede do administrador, observando-se, ainda, os §§ 1º e 2º do art. 39.</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8º</w:t>
      </w:r>
      <w:proofErr w:type="gramStart"/>
      <w:r>
        <w:rPr>
          <w:rFonts w:ascii="Times New Roman" w:hAnsi="Times New Roman"/>
        </w:rPr>
        <w:t xml:space="preserve">  </w:t>
      </w:r>
      <w:proofErr w:type="gramEnd"/>
      <w:r>
        <w:rPr>
          <w:rFonts w:ascii="Times New Roman" w:hAnsi="Times New Roman"/>
        </w:rPr>
        <w:t>A remuneração de agência classificadora de risco contratada pelo fundo poderá constituir despesa do fundo desde que: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I – seja deduzida da taxa de administração;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roofErr w:type="gramStart"/>
      <w:r>
        <w:rPr>
          <w:rFonts w:ascii="Times New Roman" w:hAnsi="Times New Roman"/>
        </w:rPr>
        <w:t>II – tal possibilidade conste do regulamento.”</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w:t>
      </w:r>
      <w:proofErr w:type="gramStart"/>
      <w:r>
        <w:rPr>
          <w:rFonts w:ascii="Times New Roman" w:hAnsi="Times New Roman"/>
          <w:b/>
        </w:rPr>
        <w:t>6º, 7º e 8º</w:t>
      </w:r>
      <w:proofErr w:type="gramEnd"/>
      <w:r>
        <w:rPr>
          <w:rFonts w:ascii="Times New Roman" w:hAnsi="Times New Roman"/>
          <w:b/>
        </w:rPr>
        <w:t xml:space="preserve"> acrescentados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42.  O administrador pode destinar diretamente aos cotistas as quantias que forem atribuídas ao fundo a título de dividendos, juros sobre capital próprio ou outros rendimentos advindos de ativos que integrem sua carteira, desde expressamente autorizado pelo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42.  O administrador pode destinar diretamente aos cotistas as quantias que forem atribuídas ao fundo a título de dividendos, juros sobre capital próprio ou outros rendimentos advindos de ativos financeiros que integrem sua carteira, desde que expressamente autorizado pelo regulamento.</w:t>
      </w:r>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Artigo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Da Alteração do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43.  A alteração do regulamento depende da prévia aprovação da </w:t>
      </w:r>
      <w:proofErr w:type="spellStart"/>
      <w:r>
        <w:rPr>
          <w:rFonts w:ascii="Times New Roman" w:hAnsi="Times New Roman"/>
        </w:rPr>
        <w:t>assembléia</w:t>
      </w:r>
      <w:proofErr w:type="spellEnd"/>
      <w:r>
        <w:rPr>
          <w:rFonts w:ascii="Times New Roman" w:hAnsi="Times New Roman"/>
        </w:rPr>
        <w:t xml:space="preserve"> geral de cotistas, sendo eficaz a partir da data deliberada pela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Parágrafo único. As alterações de regulamento serão eficazes no mínimo a partir de 30 (trinta) dias após a comunicação aos cotistas que trata o art. 55, nos seguintes casos: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Salvo se aprovadas pela unanimidade dos cotistas do fundo, as alterações de regulamento serão eficazes no mínimo a partir de 30 (trinta) dias após a comunicação aos cotistas de que trata o art. 55, nos seguintes casos: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6"/>
        </w:numPr>
        <w:ind w:left="0" w:firstLine="567"/>
        <w:jc w:val="both"/>
        <w:rPr>
          <w:rFonts w:ascii="Times New Roman" w:hAnsi="Times New Roman"/>
          <w:b/>
        </w:rPr>
      </w:pPr>
      <w:r>
        <w:rPr>
          <w:rFonts w:ascii="Times New Roman" w:hAnsi="Times New Roman"/>
          <w:b/>
        </w:rPr>
        <w:t xml:space="preserve">Parágrafo único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aumento ou alteração do cálculo das taxas de administração, de </w:t>
      </w:r>
      <w:proofErr w:type="gramStart"/>
      <w:r>
        <w:rPr>
          <w:rFonts w:ascii="Times New Roman" w:hAnsi="Times New Roman"/>
        </w:rPr>
        <w:t>performance</w:t>
      </w:r>
      <w:proofErr w:type="gramEnd"/>
      <w:r>
        <w:rPr>
          <w:rFonts w:ascii="Times New Roman" w:hAnsi="Times New Roman"/>
        </w:rPr>
        <w:t>, de ingresso ou de saída;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alteração da política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mudança nas condições de resgate;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incorporação, cisão ou fusão que envolva fundo sob a forma de condomínio fechado ou que acarrete alteração, para os cotistas envolvidos, das condições elencadas nos incisos anteriores.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44.  O administrador deverá encaminhar, através do Sistema de Envio de Documentos disponível na página da CVM na rede mundial de computadores, no prazo de 15 (quinze) dias após a realização da </w:t>
      </w:r>
      <w:proofErr w:type="spellStart"/>
      <w:r>
        <w:rPr>
          <w:rFonts w:ascii="Times New Roman" w:hAnsi="Times New Roman"/>
          <w:strike/>
        </w:rPr>
        <w:t>assembléia</w:t>
      </w:r>
      <w:proofErr w:type="spellEnd"/>
      <w:r>
        <w:rPr>
          <w:rFonts w:ascii="Times New Roman" w:hAnsi="Times New Roman"/>
          <w:strike/>
        </w:rPr>
        <w:t>, os seguintes documentos:</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Art. 44.  O administrador deverá encaminhar, através do Sistema de Envio de Documentos disponível na página da CVM na rede mundial de computadores, na data do início da vigência das alterações deliberadas em </w:t>
      </w:r>
      <w:proofErr w:type="spellStart"/>
      <w:r>
        <w:rPr>
          <w:rFonts w:ascii="Times New Roman" w:hAnsi="Times New Roman"/>
        </w:rPr>
        <w:t>assembléia</w:t>
      </w:r>
      <w:proofErr w:type="spellEnd"/>
      <w:r>
        <w:rPr>
          <w:rFonts w:ascii="Times New Roman" w:hAnsi="Times New Roman"/>
        </w:rPr>
        <w:t>, os seguintes documentos: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Art. 44 com redação dada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exemplar do regulamento, consolidando as alterações efetuadas; </w:t>
      </w:r>
      <w:proofErr w:type="gramStart"/>
      <w:r>
        <w:rPr>
          <w:rFonts w:ascii="Times New Roman" w:hAnsi="Times New Roman"/>
          <w:strike/>
        </w:rPr>
        <w:t>e</w:t>
      </w:r>
      <w:proofErr w:type="gramEnd"/>
      <w:r>
        <w:rPr>
          <w:rFonts w:ascii="Times New Roman" w:hAnsi="Times New Roman"/>
          <w:strike/>
        </w:rPr>
        <w:t xml:space="preserve">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prospecto atualizado</w:t>
      </w:r>
      <w:proofErr w:type="gramStart"/>
      <w:r>
        <w:rPr>
          <w:rFonts w:ascii="Times New Roman" w:hAnsi="Times New Roman"/>
          <w:strike/>
        </w:rPr>
        <w:t>, se for</w:t>
      </w:r>
      <w:proofErr w:type="gramEnd"/>
      <w:r>
        <w:rPr>
          <w:rFonts w:ascii="Times New Roman" w:hAnsi="Times New Roman"/>
          <w:strike/>
        </w:rPr>
        <w:t xml:space="preserve"> o caso.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I – exemplar do regulamento, consolidando as alterações efetuadas;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62" w:name="_DV_M308"/>
      <w:bookmarkEnd w:id="62"/>
      <w:r>
        <w:rPr>
          <w:rFonts w:ascii="Times New Roman" w:hAnsi="Times New Roman"/>
        </w:rPr>
        <w:t>II – prospecto atualizado</w:t>
      </w:r>
      <w:proofErr w:type="gramStart"/>
      <w:r>
        <w:rPr>
          <w:rFonts w:ascii="Times New Roman" w:hAnsi="Times New Roman"/>
        </w:rPr>
        <w:t xml:space="preserve">, </w:t>
      </w:r>
      <w:bookmarkStart w:id="63" w:name="_DV_C84"/>
      <w:r>
        <w:rPr>
          <w:rFonts w:ascii="Times New Roman" w:hAnsi="Times New Roman"/>
        </w:rPr>
        <w:t>se for</w:t>
      </w:r>
      <w:proofErr w:type="gramEnd"/>
      <w:r>
        <w:rPr>
          <w:rFonts w:ascii="Times New Roman" w:hAnsi="Times New Roman"/>
        </w:rPr>
        <w:t xml:space="preserve"> o caso; e </w:t>
      </w:r>
      <w:bookmarkEnd w:id="63"/>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I e 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64" w:name="_DV_C85"/>
      <w:r>
        <w:rPr>
          <w:rFonts w:ascii="Times New Roman" w:hAnsi="Times New Roman"/>
        </w:rPr>
        <w:t>III – lâmina atualizada</w:t>
      </w:r>
      <w:proofErr w:type="gramStart"/>
      <w:r>
        <w:rPr>
          <w:rFonts w:ascii="Times New Roman" w:hAnsi="Times New Roman"/>
        </w:rPr>
        <w:t xml:space="preserve">, </w:t>
      </w:r>
      <w:bookmarkStart w:id="65" w:name="_DV_M309"/>
      <w:bookmarkEnd w:id="64"/>
      <w:bookmarkEnd w:id="65"/>
      <w:r>
        <w:rPr>
          <w:rFonts w:ascii="Times New Roman" w:hAnsi="Times New Roman"/>
        </w:rPr>
        <w:t>se for</w:t>
      </w:r>
      <w:proofErr w:type="gramEnd"/>
      <w:r>
        <w:rPr>
          <w:rFonts w:ascii="Times New Roman" w:hAnsi="Times New Roman"/>
        </w:rPr>
        <w:t xml:space="preserve"> o caso.</w:t>
      </w:r>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III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45.  O regulamento pode ser alterado, independentemente da </w:t>
      </w:r>
      <w:proofErr w:type="spellStart"/>
      <w:r>
        <w:rPr>
          <w:rFonts w:ascii="Times New Roman" w:hAnsi="Times New Roman"/>
        </w:rPr>
        <w:t>assembléia</w:t>
      </w:r>
      <w:proofErr w:type="spellEnd"/>
      <w:r>
        <w:rPr>
          <w:rFonts w:ascii="Times New Roman" w:hAnsi="Times New Roman"/>
        </w:rPr>
        <w:t xml:space="preserve"> geral, sempre que tal alteração decorrer exclusivamente da necessidade de atendimento a exigências expressas da CVM, de adequação a normas legais ou regulamentares ou ainda em virtude da atualização </w:t>
      </w:r>
      <w:r>
        <w:rPr>
          <w:rFonts w:ascii="Times New Roman" w:hAnsi="Times New Roman"/>
        </w:rPr>
        <w:lastRenderedPageBreak/>
        <w:t xml:space="preserve">dos dados cadastrais do administrador, do gestor ou do </w:t>
      </w:r>
      <w:proofErr w:type="spellStart"/>
      <w:r>
        <w:rPr>
          <w:rFonts w:ascii="Times New Roman" w:hAnsi="Times New Roman"/>
        </w:rPr>
        <w:t>custodiante</w:t>
      </w:r>
      <w:proofErr w:type="spellEnd"/>
      <w:r>
        <w:rPr>
          <w:rFonts w:ascii="Times New Roman" w:hAnsi="Times New Roman"/>
        </w:rPr>
        <w:t xml:space="preserve"> do fundo, tais como alteração na razão social, endereço e telefone.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As alterações referidas no caput devem ser comunicadas aos cotistas, por correspondência, no prazo de até 30 (trinta) dias, contados da data em que tiverem sido </w:t>
      </w:r>
      <w:proofErr w:type="gramStart"/>
      <w:r>
        <w:rPr>
          <w:rFonts w:ascii="Times New Roman" w:hAnsi="Times New Roman"/>
        </w:rPr>
        <w:t>implementadas</w:t>
      </w:r>
      <w:proofErr w:type="gram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46.  O administrador tem o prazo de até 30 (trinta) dias, salvo determinação em contrário, para proceder às alterações determinadas pela CVM, contados do recebimento da correspondência que formular as referidas exigências.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V</w:t>
      </w:r>
    </w:p>
    <w:p w:rsidR="00B2445D" w:rsidRDefault="00B2445D" w:rsidP="00B2445D">
      <w:pPr>
        <w:pStyle w:val="NormalWeb"/>
        <w:ind w:firstLine="567"/>
        <w:jc w:val="center"/>
        <w:rPr>
          <w:rFonts w:ascii="Times New Roman" w:hAnsi="Times New Roman"/>
          <w:b/>
        </w:rPr>
      </w:pPr>
      <w:r>
        <w:rPr>
          <w:rFonts w:ascii="Times New Roman" w:hAnsi="Times New Roman"/>
          <w:b/>
        </w:rPr>
        <w:t>DA ASSEMBLÉIA GERAL</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 Competência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47.  Compete privativamente à </w:t>
      </w:r>
      <w:proofErr w:type="spellStart"/>
      <w:r>
        <w:rPr>
          <w:rFonts w:ascii="Times New Roman" w:hAnsi="Times New Roman"/>
        </w:rPr>
        <w:t>assembléia</w:t>
      </w:r>
      <w:proofErr w:type="spellEnd"/>
      <w:r>
        <w:rPr>
          <w:rFonts w:ascii="Times New Roman" w:hAnsi="Times New Roman"/>
        </w:rPr>
        <w:t xml:space="preserve"> geral de cotistas </w:t>
      </w:r>
      <w:proofErr w:type="gramStart"/>
      <w:r>
        <w:rPr>
          <w:rFonts w:ascii="Times New Roman" w:hAnsi="Times New Roman"/>
        </w:rPr>
        <w:t>deliberar</w:t>
      </w:r>
      <w:proofErr w:type="gramEnd"/>
      <w:r>
        <w:rPr>
          <w:rFonts w:ascii="Times New Roman" w:hAnsi="Times New Roman"/>
        </w:rPr>
        <w:t xml:space="preserve"> sobre: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as demonstrações contábeis apresentadas pelo administrador;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a substituição do administrador, do gestor ou do </w:t>
      </w:r>
      <w:proofErr w:type="spellStart"/>
      <w:r>
        <w:rPr>
          <w:rFonts w:ascii="Times New Roman" w:hAnsi="Times New Roman"/>
        </w:rPr>
        <w:t>custodiante</w:t>
      </w:r>
      <w:proofErr w:type="spellEnd"/>
      <w:r>
        <w:rPr>
          <w:rFonts w:ascii="Times New Roman" w:hAnsi="Times New Roman"/>
        </w:rPr>
        <w:t xml:space="preserve">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a fusão, a incorporação, a cisão, a transformação ou a liquidação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o aumento da taxa de administração;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a alteração da política de investimento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a emissão de novas cotas, no fundo fechado;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a amortização de cotas, caso não esteja prevista no regulamento;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a alteração do regulamento.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Da Convocação e Instalação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48.  A convocação da </w:t>
      </w:r>
      <w:proofErr w:type="spellStart"/>
      <w:r>
        <w:rPr>
          <w:rFonts w:ascii="Times New Roman" w:hAnsi="Times New Roman"/>
        </w:rPr>
        <w:t>assembléia</w:t>
      </w:r>
      <w:proofErr w:type="spellEnd"/>
      <w:r>
        <w:rPr>
          <w:rFonts w:ascii="Times New Roman" w:hAnsi="Times New Roman"/>
        </w:rPr>
        <w:t xml:space="preserve"> geral deve ser feita por correspondência encaminhada a cada cotista.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§1º</w:t>
      </w:r>
      <w:proofErr w:type="gramStart"/>
      <w:r>
        <w:rPr>
          <w:rFonts w:ascii="Times New Roman" w:hAnsi="Times New Roman"/>
        </w:rPr>
        <w:t xml:space="preserve">  </w:t>
      </w:r>
      <w:proofErr w:type="gramEnd"/>
      <w:r>
        <w:rPr>
          <w:rFonts w:ascii="Times New Roman" w:hAnsi="Times New Roman"/>
        </w:rPr>
        <w:t xml:space="preserve">A convocação de </w:t>
      </w:r>
      <w:proofErr w:type="spellStart"/>
      <w:r>
        <w:rPr>
          <w:rFonts w:ascii="Times New Roman" w:hAnsi="Times New Roman"/>
        </w:rPr>
        <w:t>assembléia</w:t>
      </w:r>
      <w:proofErr w:type="spellEnd"/>
      <w:r>
        <w:rPr>
          <w:rFonts w:ascii="Times New Roman" w:hAnsi="Times New Roman"/>
        </w:rPr>
        <w:t xml:space="preserve"> geral deverá enumerar, expressamente, na ordem do dia, todas as matérias a serem deliberadas, não se admitindo que sob a rubrica de assuntos gerais haja matérias que dependam de deliberação da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A convocação da </w:t>
      </w:r>
      <w:proofErr w:type="spellStart"/>
      <w:r>
        <w:rPr>
          <w:rFonts w:ascii="Times New Roman" w:hAnsi="Times New Roman"/>
        </w:rPr>
        <w:t>assembléia</w:t>
      </w:r>
      <w:proofErr w:type="spellEnd"/>
      <w:r>
        <w:rPr>
          <w:rFonts w:ascii="Times New Roman" w:hAnsi="Times New Roman"/>
        </w:rPr>
        <w:t xml:space="preserve"> geral deve ser feita com 10 (dez) dias de antecedência, no mínimo, da data de sua realização.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w:t>
      </w:r>
      <w:r>
        <w:rPr>
          <w:rFonts w:ascii="Times New Roman" w:hAnsi="Times New Roman"/>
          <w:vertAlign w:val="superscript"/>
        </w:rPr>
        <w:t>º</w:t>
      </w:r>
      <w:proofErr w:type="gramStart"/>
      <w:r>
        <w:rPr>
          <w:rFonts w:ascii="Times New Roman" w:hAnsi="Times New Roman"/>
        </w:rPr>
        <w:t xml:space="preserve">  </w:t>
      </w:r>
      <w:proofErr w:type="gramEnd"/>
      <w:r>
        <w:rPr>
          <w:rFonts w:ascii="Times New Roman" w:hAnsi="Times New Roman"/>
        </w:rPr>
        <w:t xml:space="preserve">Da convocação devem constar, obrigatoriamente, dia, hora e local em que será realizada a </w:t>
      </w:r>
      <w:proofErr w:type="spellStart"/>
      <w:r>
        <w:rPr>
          <w:rFonts w:ascii="Times New Roman" w:hAnsi="Times New Roman"/>
        </w:rPr>
        <w:t>assembléia</w:t>
      </w:r>
      <w:proofErr w:type="spellEnd"/>
      <w:r>
        <w:rPr>
          <w:rFonts w:ascii="Times New Roman" w:hAnsi="Times New Roman"/>
        </w:rPr>
        <w:t xml:space="preserve"> geral.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 xml:space="preserve">O aviso de convocação deve indicar o local onde o cotista pode examinar os documentos pertinentes à proposta a ser submetida à apreciação da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A presença da totalidade dos cotistas supre a falta de convocação.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49.  Anualmente a </w:t>
      </w:r>
      <w:proofErr w:type="spellStart"/>
      <w:r>
        <w:rPr>
          <w:rFonts w:ascii="Times New Roman" w:hAnsi="Times New Roman"/>
        </w:rPr>
        <w:t>assembléia</w:t>
      </w:r>
      <w:proofErr w:type="spellEnd"/>
      <w:r>
        <w:rPr>
          <w:rFonts w:ascii="Times New Roman" w:hAnsi="Times New Roman"/>
        </w:rPr>
        <w:t xml:space="preserve"> geral deverá deliberar sobre as demonstrações contábeis do fundo, fazendo-o até 120 (cento e vinte) dias após o término do exercício social.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A </w:t>
      </w:r>
      <w:proofErr w:type="spellStart"/>
      <w:r>
        <w:rPr>
          <w:rFonts w:ascii="Times New Roman" w:hAnsi="Times New Roman"/>
        </w:rPr>
        <w:t>assembléia</w:t>
      </w:r>
      <w:proofErr w:type="spellEnd"/>
      <w:r>
        <w:rPr>
          <w:rFonts w:ascii="Times New Roman" w:hAnsi="Times New Roman"/>
        </w:rPr>
        <w:t xml:space="preserve"> geral a que se refere o caput somente pode ser realizada no mínimo 30 (trinta) dias após estarem disponíveis aos cotistas as demonstrações contábeis auditadas relativas ao exercício encerrado.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A </w:t>
      </w:r>
      <w:proofErr w:type="spellStart"/>
      <w:r>
        <w:rPr>
          <w:rFonts w:ascii="Times New Roman" w:hAnsi="Times New Roman"/>
        </w:rPr>
        <w:t>assembléia</w:t>
      </w:r>
      <w:proofErr w:type="spellEnd"/>
      <w:r>
        <w:rPr>
          <w:rFonts w:ascii="Times New Roman" w:hAnsi="Times New Roman"/>
        </w:rPr>
        <w:t xml:space="preserve"> geral a que comparecerem todos os cotistas poderá dispensar a observância do prazo estabelecido no parágrafo anterior, desde que o faça por unanimidade.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Art. 50.  Além da </w:t>
      </w:r>
      <w:proofErr w:type="spellStart"/>
      <w:r>
        <w:rPr>
          <w:rFonts w:ascii="Times New Roman" w:hAnsi="Times New Roman"/>
          <w:strike/>
        </w:rPr>
        <w:t>assembléia</w:t>
      </w:r>
      <w:proofErr w:type="spellEnd"/>
      <w:r>
        <w:rPr>
          <w:rFonts w:ascii="Times New Roman" w:hAnsi="Times New Roman"/>
          <w:strike/>
        </w:rPr>
        <w:t xml:space="preserve"> prevista no artigo anterior, o administrador ou cotista ou grupo de cotistas que detenham, no mínimo, 5% (cinco por cento) do total de cotas emitidas, poderão convocar a qualquer tempo </w:t>
      </w:r>
      <w:proofErr w:type="spellStart"/>
      <w:r>
        <w:rPr>
          <w:rFonts w:ascii="Times New Roman" w:hAnsi="Times New Roman"/>
          <w:strike/>
        </w:rPr>
        <w:t>assembléia</w:t>
      </w:r>
      <w:proofErr w:type="spellEnd"/>
      <w:r>
        <w:rPr>
          <w:rFonts w:ascii="Times New Roman" w:hAnsi="Times New Roman"/>
          <w:strike/>
        </w:rPr>
        <w:t xml:space="preserve"> geral de cotistas, para deliberar sobre ordem do dia de interesse do fundo ou dos cotistas.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A convocação por iniciativa de cotistas será dirigida ao administrador, que deverá, no prazo máximo de 30 (trinta) dias contados do recebimento, realizar a convocação da </w:t>
      </w:r>
      <w:proofErr w:type="spellStart"/>
      <w:r>
        <w:rPr>
          <w:rFonts w:ascii="Times New Roman" w:hAnsi="Times New Roman"/>
          <w:strike/>
        </w:rPr>
        <w:t>assembléia</w:t>
      </w:r>
      <w:proofErr w:type="spellEnd"/>
      <w:r>
        <w:rPr>
          <w:rFonts w:ascii="Times New Roman" w:hAnsi="Times New Roman"/>
          <w:strike/>
        </w:rPr>
        <w:t xml:space="preserve"> geral </w:t>
      </w:r>
      <w:proofErr w:type="gramStart"/>
      <w:r>
        <w:rPr>
          <w:rFonts w:ascii="Times New Roman" w:hAnsi="Times New Roman"/>
          <w:strike/>
        </w:rPr>
        <w:t>às expensas dos</w:t>
      </w:r>
      <w:proofErr w:type="gramEnd"/>
      <w:r>
        <w:rPr>
          <w:rFonts w:ascii="Times New Roman" w:hAnsi="Times New Roman"/>
          <w:strike/>
        </w:rPr>
        <w:t xml:space="preserve"> requerentes, salvo se a </w:t>
      </w:r>
      <w:proofErr w:type="spellStart"/>
      <w:r>
        <w:rPr>
          <w:rFonts w:ascii="Times New Roman" w:hAnsi="Times New Roman"/>
          <w:strike/>
        </w:rPr>
        <w:t>assembléia</w:t>
      </w:r>
      <w:proofErr w:type="spellEnd"/>
      <w:r>
        <w:rPr>
          <w:rFonts w:ascii="Times New Roman" w:hAnsi="Times New Roman"/>
          <w:strike/>
        </w:rPr>
        <w:t xml:space="preserve"> geral assim convocada deliberar em contrário.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50.  Além da </w:t>
      </w:r>
      <w:proofErr w:type="spellStart"/>
      <w:r>
        <w:rPr>
          <w:rFonts w:ascii="Times New Roman" w:hAnsi="Times New Roman"/>
        </w:rPr>
        <w:t>assembléia</w:t>
      </w:r>
      <w:proofErr w:type="spellEnd"/>
      <w:r>
        <w:rPr>
          <w:rFonts w:ascii="Times New Roman" w:hAnsi="Times New Roman"/>
        </w:rPr>
        <w:t xml:space="preserve"> prevista no artigo anterior, o administrador, o gestor, o </w:t>
      </w:r>
      <w:proofErr w:type="spellStart"/>
      <w:r>
        <w:rPr>
          <w:rFonts w:ascii="Times New Roman" w:hAnsi="Times New Roman"/>
        </w:rPr>
        <w:t>custodiante</w:t>
      </w:r>
      <w:proofErr w:type="spellEnd"/>
      <w:r>
        <w:rPr>
          <w:rFonts w:ascii="Times New Roman" w:hAnsi="Times New Roman"/>
        </w:rPr>
        <w:t xml:space="preserve"> ou o cotista ou grupo de cotistas que detenha, no mínimo, 5% (cinco por cento) do total de cotas emitidas, poderão convocar a qualquer tempo </w:t>
      </w:r>
      <w:proofErr w:type="spellStart"/>
      <w:r>
        <w:rPr>
          <w:rFonts w:ascii="Times New Roman" w:hAnsi="Times New Roman"/>
        </w:rPr>
        <w:t>assembléia</w:t>
      </w:r>
      <w:proofErr w:type="spellEnd"/>
      <w:r>
        <w:rPr>
          <w:rFonts w:ascii="Times New Roman" w:hAnsi="Times New Roman"/>
        </w:rPr>
        <w:t xml:space="preserve"> geral de cotistas, para deliberar sobre ordem do dia de interesse do fundo ou dos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A convocação por iniciativa do gestor, do </w:t>
      </w:r>
      <w:proofErr w:type="spellStart"/>
      <w:r>
        <w:rPr>
          <w:rFonts w:ascii="Times New Roman" w:hAnsi="Times New Roman"/>
        </w:rPr>
        <w:t>custodiante</w:t>
      </w:r>
      <w:proofErr w:type="spellEnd"/>
      <w:r>
        <w:rPr>
          <w:rFonts w:ascii="Times New Roman" w:hAnsi="Times New Roman"/>
        </w:rPr>
        <w:t xml:space="preserve"> ou de cotistas será dirigida ao administrador, que deverá, no prazo máximo de 30 (trinta) dias contados do recebimento, realizar a convocação da </w:t>
      </w:r>
      <w:proofErr w:type="spellStart"/>
      <w:r>
        <w:rPr>
          <w:rFonts w:ascii="Times New Roman" w:hAnsi="Times New Roman"/>
        </w:rPr>
        <w:t>assembléia</w:t>
      </w:r>
      <w:proofErr w:type="spellEnd"/>
      <w:r>
        <w:rPr>
          <w:rFonts w:ascii="Times New Roman" w:hAnsi="Times New Roman"/>
        </w:rPr>
        <w:t xml:space="preserve"> geral </w:t>
      </w:r>
      <w:proofErr w:type="gramStart"/>
      <w:r>
        <w:rPr>
          <w:rFonts w:ascii="Times New Roman" w:hAnsi="Times New Roman"/>
        </w:rPr>
        <w:t>às expensas dos</w:t>
      </w:r>
      <w:proofErr w:type="gramEnd"/>
      <w:r>
        <w:rPr>
          <w:rFonts w:ascii="Times New Roman" w:hAnsi="Times New Roman"/>
        </w:rPr>
        <w:t xml:space="preserve"> requerentes, salvo se a </w:t>
      </w:r>
      <w:proofErr w:type="spellStart"/>
      <w:r>
        <w:rPr>
          <w:rFonts w:ascii="Times New Roman" w:hAnsi="Times New Roman"/>
        </w:rPr>
        <w:t>assembléia</w:t>
      </w:r>
      <w:proofErr w:type="spellEnd"/>
      <w:r>
        <w:rPr>
          <w:rFonts w:ascii="Times New Roman" w:hAnsi="Times New Roman"/>
        </w:rPr>
        <w:t xml:space="preserve"> geral assim convocada deliberar em contrário.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7"/>
        </w:numPr>
        <w:ind w:left="0" w:firstLine="567"/>
        <w:jc w:val="both"/>
        <w:rPr>
          <w:rFonts w:ascii="Times New Roman" w:hAnsi="Times New Roman"/>
          <w:b/>
        </w:rPr>
      </w:pPr>
      <w:r>
        <w:rPr>
          <w:rFonts w:ascii="Times New Roman" w:hAnsi="Times New Roman"/>
          <w:b/>
        </w:rPr>
        <w:t xml:space="preserve">Artigo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51.  A </w:t>
      </w:r>
      <w:proofErr w:type="spellStart"/>
      <w:r>
        <w:rPr>
          <w:rFonts w:ascii="Times New Roman" w:hAnsi="Times New Roman"/>
        </w:rPr>
        <w:t>Assembléia</w:t>
      </w:r>
      <w:proofErr w:type="spellEnd"/>
      <w:r>
        <w:rPr>
          <w:rFonts w:ascii="Times New Roman" w:hAnsi="Times New Roman"/>
        </w:rPr>
        <w:t xml:space="preserve"> Geral se instalará com a presença de qualquer número de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r>
        <w:rPr>
          <w:rFonts w:ascii="Times New Roman" w:hAnsi="Times New Roman"/>
        </w:rPr>
        <w:t>Das Deliberações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Art. 52.  As deliberações da </w:t>
      </w:r>
      <w:proofErr w:type="spellStart"/>
      <w:r>
        <w:rPr>
          <w:rFonts w:ascii="Times New Roman" w:hAnsi="Times New Roman"/>
        </w:rPr>
        <w:t>assembléia</w:t>
      </w:r>
      <w:proofErr w:type="spellEnd"/>
      <w:r>
        <w:rPr>
          <w:rFonts w:ascii="Times New Roman" w:hAnsi="Times New Roman"/>
        </w:rPr>
        <w:t xml:space="preserve"> geral serão tomadas por maioria de votos, cabendo a cada cota </w:t>
      </w:r>
      <w:proofErr w:type="gramStart"/>
      <w:r>
        <w:rPr>
          <w:rFonts w:ascii="Times New Roman" w:hAnsi="Times New Roman"/>
        </w:rPr>
        <w:t>1</w:t>
      </w:r>
      <w:proofErr w:type="gramEnd"/>
      <w:r>
        <w:rPr>
          <w:rFonts w:ascii="Times New Roman" w:hAnsi="Times New Roman"/>
        </w:rPr>
        <w:t xml:space="preserve"> (um) voto.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O regulamento poderá dispor sobre a possibilidade de as deliberações da </w:t>
      </w:r>
      <w:proofErr w:type="spellStart"/>
      <w:r>
        <w:rPr>
          <w:rFonts w:ascii="Times New Roman" w:hAnsi="Times New Roman"/>
        </w:rPr>
        <w:t>assembléia</w:t>
      </w:r>
      <w:proofErr w:type="spellEnd"/>
      <w:r>
        <w:rPr>
          <w:rFonts w:ascii="Times New Roman" w:hAnsi="Times New Roman"/>
        </w:rPr>
        <w:t xml:space="preserve"> serem adotadas mediante processo de consulta formal, sem necessidade de reunião dos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O regulamento poderá estabelecer </w:t>
      </w:r>
      <w:proofErr w:type="spellStart"/>
      <w:r>
        <w:rPr>
          <w:rFonts w:ascii="Times New Roman" w:hAnsi="Times New Roman"/>
        </w:rPr>
        <w:t>quorum</w:t>
      </w:r>
      <w:proofErr w:type="spellEnd"/>
      <w:r>
        <w:rPr>
          <w:rFonts w:ascii="Times New Roman" w:hAnsi="Times New Roman"/>
        </w:rPr>
        <w:t xml:space="preserve"> qualificado para as deliberações, inclusive as relativas às matérias previstas no art. 47.</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Na hipótese de destituição do administrador, o </w:t>
      </w:r>
      <w:proofErr w:type="spellStart"/>
      <w:r>
        <w:rPr>
          <w:rFonts w:ascii="Times New Roman" w:hAnsi="Times New Roman"/>
          <w:strike/>
        </w:rPr>
        <w:t>quorum</w:t>
      </w:r>
      <w:proofErr w:type="spellEnd"/>
      <w:r>
        <w:rPr>
          <w:rFonts w:ascii="Times New Roman" w:hAnsi="Times New Roman"/>
          <w:strike/>
        </w:rPr>
        <w:t xml:space="preserve"> qualificado a que se refere o caput não poderá ultrapassar metade mais uma das cotas emitidas.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Na hipótese de destituição do administrador de fundo aberto, o </w:t>
      </w:r>
      <w:proofErr w:type="spellStart"/>
      <w:r>
        <w:rPr>
          <w:rFonts w:ascii="Times New Roman" w:hAnsi="Times New Roman"/>
        </w:rPr>
        <w:t>quorum</w:t>
      </w:r>
      <w:proofErr w:type="spellEnd"/>
      <w:r>
        <w:rPr>
          <w:rFonts w:ascii="Times New Roman" w:hAnsi="Times New Roman"/>
        </w:rPr>
        <w:t xml:space="preserve"> qualificado a que se refere o caput não poderá ultrapassar metade mais uma das cotas emitidas.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8"/>
        </w:numPr>
        <w:ind w:left="0" w:firstLine="567"/>
        <w:jc w:val="both"/>
        <w:rPr>
          <w:rFonts w:ascii="Times New Roman" w:hAnsi="Times New Roman"/>
          <w:b/>
        </w:rPr>
      </w:pPr>
      <w:r>
        <w:rPr>
          <w:rFonts w:ascii="Times New Roman" w:hAnsi="Times New Roman"/>
          <w:b/>
        </w:rPr>
        <w:t>§3º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53.  Somente podem votar na </w:t>
      </w:r>
      <w:proofErr w:type="spellStart"/>
      <w:r>
        <w:rPr>
          <w:rFonts w:ascii="Times New Roman" w:hAnsi="Times New Roman"/>
        </w:rPr>
        <w:t>assembléia</w:t>
      </w:r>
      <w:proofErr w:type="spellEnd"/>
      <w:r>
        <w:rPr>
          <w:rFonts w:ascii="Times New Roman" w:hAnsi="Times New Roman"/>
        </w:rPr>
        <w:t xml:space="preserve"> geral os cotistas do fundo inscritos no registro de cotistas na data da convocação da </w:t>
      </w:r>
      <w:proofErr w:type="spellStart"/>
      <w:r>
        <w:rPr>
          <w:rFonts w:ascii="Times New Roman" w:hAnsi="Times New Roman"/>
        </w:rPr>
        <w:t>assembléia</w:t>
      </w:r>
      <w:proofErr w:type="spellEnd"/>
      <w:r>
        <w:rPr>
          <w:rFonts w:ascii="Times New Roman" w:hAnsi="Times New Roman"/>
        </w:rPr>
        <w:t xml:space="preserve">, seus representantes legais ou procuradores legalmente constituídos há menos de </w:t>
      </w:r>
      <w:proofErr w:type="gramStart"/>
      <w:r>
        <w:rPr>
          <w:rFonts w:ascii="Times New Roman" w:hAnsi="Times New Roman"/>
        </w:rPr>
        <w:t>1</w:t>
      </w:r>
      <w:proofErr w:type="gramEnd"/>
      <w:r>
        <w:rPr>
          <w:rFonts w:ascii="Times New Roman" w:hAnsi="Times New Roman"/>
        </w:rPr>
        <w:t xml:space="preserve"> (um) ano.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Os cotistas também poderão votar por meio de comunicação escrita ou eletrônica, desde que recebida pelo administrador antes do início da </w:t>
      </w:r>
      <w:proofErr w:type="spellStart"/>
      <w:r>
        <w:rPr>
          <w:rFonts w:ascii="Times New Roman" w:hAnsi="Times New Roman"/>
        </w:rPr>
        <w:t>assembléia</w:t>
      </w:r>
      <w:proofErr w:type="spellEnd"/>
      <w:r>
        <w:rPr>
          <w:rFonts w:ascii="Times New Roman" w:hAnsi="Times New Roman"/>
        </w:rPr>
        <w:t>, observado o disposto no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54.  Não podem votar nas </w:t>
      </w:r>
      <w:proofErr w:type="spellStart"/>
      <w:r>
        <w:rPr>
          <w:rFonts w:ascii="Times New Roman" w:hAnsi="Times New Roman"/>
        </w:rPr>
        <w:t>assembléias</w:t>
      </w:r>
      <w:proofErr w:type="spellEnd"/>
      <w:r>
        <w:rPr>
          <w:rFonts w:ascii="Times New Roman" w:hAnsi="Times New Roman"/>
        </w:rPr>
        <w:t xml:space="preserve"> gerais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seu administrador;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seu administrador e seu gestor;</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9"/>
        </w:numPr>
        <w:ind w:left="0" w:firstLine="567"/>
        <w:jc w:val="both"/>
        <w:rPr>
          <w:rFonts w:ascii="Times New Roman" w:hAnsi="Times New Roman"/>
          <w:b/>
        </w:rPr>
      </w:pPr>
      <w:r>
        <w:rPr>
          <w:rFonts w:ascii="Times New Roman" w:hAnsi="Times New Roman"/>
          <w:b/>
        </w:rPr>
        <w:t xml:space="preserve">Inciso I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os sócios, diretores e funcionários do administrador;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os sócios, diretores e funcionários do administrador ou do gestor;</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0"/>
        </w:numPr>
        <w:ind w:left="0" w:firstLine="567"/>
        <w:jc w:val="both"/>
        <w:rPr>
          <w:rFonts w:ascii="Times New Roman" w:hAnsi="Times New Roman"/>
          <w:b/>
        </w:rPr>
      </w:pPr>
      <w:r>
        <w:rPr>
          <w:rFonts w:ascii="Times New Roman" w:hAnsi="Times New Roman"/>
          <w:b/>
        </w:rPr>
        <w:t xml:space="preserve">Inciso II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empresas ligadas ao administrador, seus sócios, diretores, funcionários;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empresas ligadas ao administrador ou ao gestor, seus sócios, diretores, funcionários;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1"/>
        </w:numPr>
        <w:ind w:left="0" w:firstLine="567"/>
        <w:jc w:val="both"/>
        <w:rPr>
          <w:rFonts w:ascii="Times New Roman" w:hAnsi="Times New Roman"/>
          <w:b/>
        </w:rPr>
      </w:pPr>
      <w:r>
        <w:rPr>
          <w:rFonts w:ascii="Times New Roman" w:hAnsi="Times New Roman"/>
          <w:b/>
        </w:rPr>
        <w:t xml:space="preserve">Inciso III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os prestadores de serviços do fundo, seus sócios, diretores e funcionários.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Parágrafo único. Às pessoas mencionadas nos incisos anteriores não se aplica a vedação prevista neste artigo quando se tratar de fundo de que sejam os únicos cotistas, ou na hipótese de aquiescência expressa da maioria dos demais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Às pessoas mencionadas nos incisos I a IV não se aplica a vedação prevista neste artigo quando se tratar de fundo de que sejam os únicos cotistas, ou na hipótese de aquiescência expressa da maioria dos demais cotistas, manifestada na própria </w:t>
      </w:r>
      <w:proofErr w:type="spellStart"/>
      <w:r>
        <w:rPr>
          <w:rFonts w:ascii="Times New Roman" w:hAnsi="Times New Roman"/>
        </w:rPr>
        <w:t>assembléia</w:t>
      </w:r>
      <w:proofErr w:type="spellEnd"/>
      <w:r>
        <w:rPr>
          <w:rFonts w:ascii="Times New Roman" w:hAnsi="Times New Roman"/>
        </w:rPr>
        <w:t xml:space="preserve">, ou em instrumento de procuração que se refira especificamente à </w:t>
      </w:r>
      <w:proofErr w:type="spellStart"/>
      <w:r>
        <w:rPr>
          <w:rFonts w:ascii="Times New Roman" w:hAnsi="Times New Roman"/>
        </w:rPr>
        <w:t>assembléia</w:t>
      </w:r>
      <w:proofErr w:type="spellEnd"/>
      <w:r>
        <w:rPr>
          <w:rFonts w:ascii="Times New Roman" w:hAnsi="Times New Roman"/>
        </w:rPr>
        <w:t xml:space="preserve"> em que se dará a permissão de voto. </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2"/>
        </w:numPr>
        <w:ind w:left="0" w:firstLine="567"/>
        <w:jc w:val="both"/>
        <w:rPr>
          <w:rFonts w:ascii="Times New Roman" w:hAnsi="Times New Roman"/>
          <w:b/>
        </w:rPr>
      </w:pPr>
      <w:r>
        <w:rPr>
          <w:rFonts w:ascii="Times New Roman" w:hAnsi="Times New Roman"/>
          <w:b/>
        </w:rPr>
        <w:t xml:space="preserve">Parágrafo único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55.  O resumo das decisões da </w:t>
      </w:r>
      <w:proofErr w:type="spellStart"/>
      <w:r>
        <w:rPr>
          <w:rFonts w:ascii="Times New Roman" w:hAnsi="Times New Roman"/>
          <w:strike/>
        </w:rPr>
        <w:t>assembléia</w:t>
      </w:r>
      <w:proofErr w:type="spellEnd"/>
      <w:r>
        <w:rPr>
          <w:rFonts w:ascii="Times New Roman" w:hAnsi="Times New Roman"/>
          <w:strike/>
        </w:rPr>
        <w:t xml:space="preserve"> geral deverá ser enviado a cada cotista no prazo de até 30 (trinta) dias após a data de sua realização, podendo ser utilizado para tal finalidade o extrato de conta que for enviado após a comunicação de que trata o art. 68, II.</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Caso a </w:t>
      </w:r>
      <w:proofErr w:type="spellStart"/>
      <w:r>
        <w:rPr>
          <w:rFonts w:ascii="Times New Roman" w:hAnsi="Times New Roman"/>
          <w:strike/>
        </w:rPr>
        <w:t>assembléia</w:t>
      </w:r>
      <w:proofErr w:type="spellEnd"/>
      <w:r>
        <w:rPr>
          <w:rFonts w:ascii="Times New Roman" w:hAnsi="Times New Roman"/>
          <w:strike/>
        </w:rPr>
        <w:t xml:space="preserve"> geral seja realizada nos últimos dez dias do mês, a comunicação de que trata o caput poderá ser efetuada no extrato de conta relativo ao mês seguinte.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55.  O resumo das decisões da </w:t>
      </w:r>
      <w:proofErr w:type="spellStart"/>
      <w:r>
        <w:rPr>
          <w:rFonts w:ascii="Times New Roman" w:hAnsi="Times New Roman"/>
        </w:rPr>
        <w:t>assembléia</w:t>
      </w:r>
      <w:proofErr w:type="spellEnd"/>
      <w:r>
        <w:rPr>
          <w:rFonts w:ascii="Times New Roman" w:hAnsi="Times New Roman"/>
        </w:rPr>
        <w:t xml:space="preserve"> geral deverá ser enviado a cada cotista no prazo de até 30 (trinta) dias após a data de realização da </w:t>
      </w:r>
      <w:proofErr w:type="spellStart"/>
      <w:r>
        <w:rPr>
          <w:rFonts w:ascii="Times New Roman" w:hAnsi="Times New Roman"/>
        </w:rPr>
        <w:t>assembléia</w:t>
      </w:r>
      <w:proofErr w:type="spellEnd"/>
      <w:r>
        <w:rPr>
          <w:rFonts w:ascii="Times New Roman" w:hAnsi="Times New Roman"/>
        </w:rPr>
        <w:t xml:space="preserve">, podendo ser utilizado para tal finalidade o extrato de conta que for enviado após a comunicação de que trata o art. 68, II.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Caso a </w:t>
      </w:r>
      <w:proofErr w:type="spellStart"/>
      <w:r>
        <w:rPr>
          <w:rFonts w:ascii="Times New Roman" w:hAnsi="Times New Roman"/>
        </w:rPr>
        <w:t>assembléia</w:t>
      </w:r>
      <w:proofErr w:type="spellEnd"/>
      <w:r>
        <w:rPr>
          <w:rFonts w:ascii="Times New Roman" w:hAnsi="Times New Roman"/>
        </w:rPr>
        <w:t xml:space="preserve"> geral seja realizada nos últimos dez dias do mês, a comunicação de que trata o caput poderá ser efetuada no extrato de conta relativo ao mês seguinte ao da realização da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3"/>
        </w:numPr>
        <w:ind w:left="0" w:firstLine="567"/>
        <w:jc w:val="both"/>
        <w:rPr>
          <w:rFonts w:ascii="Times New Roman" w:hAnsi="Times New Roman"/>
          <w:b/>
        </w:rPr>
      </w:pPr>
      <w:r>
        <w:rPr>
          <w:rFonts w:ascii="Times New Roman" w:hAnsi="Times New Roman"/>
          <w:b/>
        </w:rPr>
        <w:lastRenderedPageBreak/>
        <w:t xml:space="preserve">Artigo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proofErr w:type="gramStart"/>
      <w:r>
        <w:rPr>
          <w:rFonts w:ascii="Times New Roman" w:hAnsi="Times New Roman"/>
          <w:b/>
        </w:rPr>
        <w:t>CAPÍTULO VI</w:t>
      </w:r>
      <w:proofErr w:type="gramEnd"/>
    </w:p>
    <w:p w:rsidR="00B2445D" w:rsidRDefault="00B2445D" w:rsidP="00B2445D">
      <w:pPr>
        <w:pStyle w:val="NormalWeb"/>
        <w:ind w:firstLine="567"/>
        <w:jc w:val="center"/>
        <w:rPr>
          <w:rFonts w:ascii="Times New Roman" w:hAnsi="Times New Roman"/>
          <w:b/>
        </w:rPr>
      </w:pPr>
      <w:r>
        <w:rPr>
          <w:rFonts w:ascii="Times New Roman" w:hAnsi="Times New Roman"/>
          <w:b/>
        </w:rPr>
        <w:t>DA ADMINISTRAÇÃO</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Das Disposições Gerais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56.  A administração do fundo compreende o conjunto de serviços relacionados direta ou indiretamente ao funcionamento e à manutenção do fundo, que podem ser prestados pelo próprio administrador ou por terceiros por ele contratados, por escrito, em nome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O administrador poderá contratar, em nome do fundo, os seguintes serviços, com a exclusão de quaisquer outros não listados: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Além do serviço obrigatório de auditoria independente (art. 84), o </w:t>
      </w:r>
      <w:proofErr w:type="spellStart"/>
      <w:r>
        <w:rPr>
          <w:rFonts w:ascii="Times New Roman" w:hAnsi="Times New Roman"/>
          <w:strike/>
        </w:rPr>
        <w:t>O</w:t>
      </w:r>
      <w:proofErr w:type="spellEnd"/>
      <w:r>
        <w:rPr>
          <w:rFonts w:ascii="Times New Roman" w:hAnsi="Times New Roman"/>
          <w:strike/>
        </w:rPr>
        <w:t xml:space="preserve"> administrador poderá contratar, em nome do fundo, com terceiros devidamente habilitados e autorizados, os seguintes serviços, com a exclusão de quaisquer outros não listados:</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23"/>
        </w:numPr>
        <w:jc w:val="both"/>
        <w:rPr>
          <w:rFonts w:ascii="Times New Roman" w:hAnsi="Times New Roman"/>
          <w:b/>
          <w:strike/>
        </w:rPr>
      </w:pPr>
      <w:r>
        <w:rPr>
          <w:rFonts w:ascii="Times New Roman" w:hAnsi="Times New Roman"/>
          <w:b/>
          <w:strike/>
        </w:rPr>
        <w:t xml:space="preserve">Caput do parágrafo único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O administrador poderá contratar, em nome do fundo, com terceiros devidamente habilitados e autorizados, os seguintes serviços, com a exclusão de quaisquer outros não listados: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lastRenderedPageBreak/>
        <w:t>§1º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 gestão da carteira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a consultoria de investimentos;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as atividades de tesouraria, de controle e processamento dos títulos e valores mobiliários;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as atividades de tesouraria, de controle e processamento dos </w:t>
      </w:r>
      <w:bookmarkStart w:id="66" w:name="_DV_C87"/>
      <w:r>
        <w:rPr>
          <w:rFonts w:ascii="Times New Roman" w:hAnsi="Times New Roman"/>
        </w:rPr>
        <w:t>ativos financeiros</w:t>
      </w:r>
      <w:bookmarkStart w:id="67" w:name="_DV_M365"/>
      <w:bookmarkEnd w:id="66"/>
      <w:bookmarkEnd w:id="67"/>
      <w:r>
        <w:rPr>
          <w:rFonts w:ascii="Times New Roman" w:hAnsi="Times New Roman"/>
        </w:rPr>
        <w:t>;</w:t>
      </w:r>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a distribuição de cotas;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a escrituração da emissão e resgate de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VI – custódia de títulos e valores mobiliários e demais ativos financeiros;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custódia de ativos financeiros; </w:t>
      </w:r>
      <w:proofErr w:type="gramStart"/>
      <w:r>
        <w:rPr>
          <w:rFonts w:ascii="Times New Roman" w:hAnsi="Times New Roman"/>
        </w:rPr>
        <w:t>e</w:t>
      </w:r>
      <w:proofErr w:type="gramEnd"/>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VI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VII – auditoria independente.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classificação de risco por agência especializada constituída no País. </w:t>
      </w:r>
    </w:p>
    <w:p w:rsidR="00B2445D" w:rsidRDefault="00B2445D" w:rsidP="00B2445D">
      <w:pPr>
        <w:pStyle w:val="NormalWeb"/>
        <w:ind w:firstLine="567"/>
        <w:jc w:val="both"/>
        <w:rPr>
          <w:rFonts w:ascii="Times New Roman" w:hAnsi="Times New Roman"/>
          <w:b/>
        </w:rPr>
      </w:pPr>
    </w:p>
    <w:p w:rsidR="00B2445D" w:rsidRDefault="00B2445D" w:rsidP="00B2445D">
      <w:pPr>
        <w:pStyle w:val="NormalWeb"/>
        <w:numPr>
          <w:ilvl w:val="0"/>
          <w:numId w:val="24"/>
        </w:numPr>
        <w:ind w:left="0" w:firstLine="567"/>
        <w:jc w:val="both"/>
        <w:rPr>
          <w:rFonts w:ascii="Times New Roman" w:hAnsi="Times New Roman"/>
          <w:b/>
        </w:rPr>
      </w:pPr>
      <w:r>
        <w:rPr>
          <w:rFonts w:ascii="Times New Roman" w:hAnsi="Times New Roman"/>
          <w:b/>
        </w:rPr>
        <w:t xml:space="preserve">Inciso VII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Gestão da carteira do fundo é a gestão profissional, conforme estabelecido no seu regulamento, dos títulos e valores mobiliários dela integrantes, desempenhada por pessoa natural ou jurídica credenciada como administradora de carteira de valores mobiliários pela CVM, tendo o gestor poderes para negociar, em nome do fundo de investimento, os referidos títulos e valores mobiliários.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Gestão da carteira do fundo é a gestão profissional, conforme estabelecido no seu regulamento, dos </w:t>
      </w:r>
      <w:bookmarkStart w:id="68" w:name="_DV_C91"/>
      <w:r>
        <w:rPr>
          <w:rFonts w:ascii="Times New Roman" w:hAnsi="Times New Roman"/>
        </w:rPr>
        <w:t>ativos financeiros</w:t>
      </w:r>
      <w:bookmarkStart w:id="69" w:name="_DV_M372"/>
      <w:bookmarkEnd w:id="68"/>
      <w:bookmarkEnd w:id="69"/>
      <w:r>
        <w:rPr>
          <w:rFonts w:ascii="Times New Roman" w:hAnsi="Times New Roman"/>
        </w:rPr>
        <w:t xml:space="preserve"> dela integrantes, desempenhada por pessoa natural ou jurídica credenciada como administradora de carteira de valores mobiliários pela CVM, tendo o gestor poderes para</w:t>
      </w:r>
      <w:bookmarkStart w:id="70" w:name="_DV_C95"/>
      <w:r>
        <w:rPr>
          <w:rFonts w:ascii="Times New Roman" w:hAnsi="Times New Roman"/>
        </w:rPr>
        <w:t>:</w:t>
      </w:r>
      <w:bookmarkEnd w:id="70"/>
    </w:p>
    <w:p w:rsidR="00B2445D" w:rsidRDefault="00B2445D" w:rsidP="00B2445D">
      <w:pPr>
        <w:pStyle w:val="NormalWeb"/>
        <w:ind w:firstLine="567"/>
        <w:jc w:val="both"/>
        <w:rPr>
          <w:rFonts w:ascii="Times New Roman" w:hAnsi="Times New Roman"/>
        </w:rPr>
      </w:pPr>
      <w:bookmarkStart w:id="71" w:name="_DV_C96"/>
    </w:p>
    <w:p w:rsidR="00B2445D" w:rsidRDefault="00B2445D" w:rsidP="00B2445D">
      <w:pPr>
        <w:pStyle w:val="NormalWeb"/>
        <w:ind w:firstLine="567"/>
        <w:jc w:val="both"/>
        <w:rPr>
          <w:rFonts w:ascii="Times New Roman" w:hAnsi="Times New Roman"/>
        </w:rPr>
      </w:pPr>
      <w:bookmarkStart w:id="72" w:name="_DV_C97"/>
      <w:bookmarkStart w:id="73" w:name="_DV_X93"/>
      <w:bookmarkEnd w:id="71"/>
      <w:r>
        <w:rPr>
          <w:rFonts w:ascii="Times New Roman" w:hAnsi="Times New Roman"/>
        </w:rPr>
        <w:t xml:space="preserve">I – negociar, em nome do fundo de investimento, os </w:t>
      </w:r>
      <w:bookmarkStart w:id="74" w:name="_DV_C98"/>
      <w:bookmarkEnd w:id="72"/>
      <w:bookmarkEnd w:id="73"/>
      <w:r>
        <w:rPr>
          <w:rFonts w:ascii="Times New Roman" w:hAnsi="Times New Roman"/>
        </w:rPr>
        <w:t xml:space="preserve">ativos financeiros do fundo; </w:t>
      </w:r>
      <w:proofErr w:type="gramStart"/>
      <w:r>
        <w:rPr>
          <w:rFonts w:ascii="Times New Roman" w:hAnsi="Times New Roman"/>
        </w:rPr>
        <w:t>e</w:t>
      </w:r>
      <w:bookmarkEnd w:id="74"/>
      <w:proofErr w:type="gramEnd"/>
    </w:p>
    <w:p w:rsidR="00B2445D" w:rsidRDefault="00B2445D" w:rsidP="00B2445D">
      <w:pPr>
        <w:pStyle w:val="NormalWeb"/>
        <w:ind w:firstLine="567"/>
        <w:jc w:val="both"/>
        <w:rPr>
          <w:rFonts w:ascii="Times New Roman" w:hAnsi="Times New Roman"/>
        </w:rPr>
      </w:pPr>
      <w:bookmarkStart w:id="75" w:name="_DV_C99"/>
    </w:p>
    <w:p w:rsidR="00B2445D" w:rsidRDefault="00B2445D" w:rsidP="00B2445D">
      <w:pPr>
        <w:pStyle w:val="NormalWeb"/>
        <w:ind w:firstLine="567"/>
        <w:jc w:val="both"/>
        <w:rPr>
          <w:rFonts w:ascii="Times New Roman" w:hAnsi="Times New Roman"/>
        </w:rPr>
      </w:pPr>
      <w:bookmarkStart w:id="76" w:name="_DV_C100"/>
      <w:bookmarkEnd w:id="75"/>
      <w:r>
        <w:rPr>
          <w:rFonts w:ascii="Times New Roman" w:hAnsi="Times New Roman"/>
        </w:rPr>
        <w:t xml:space="preserve">II – exercer o direito de voto decorrente dos ativos financeiros detidos pelo fundo, realizando todas as demais ações </w:t>
      </w:r>
      <w:proofErr w:type="gramStart"/>
      <w:r>
        <w:rPr>
          <w:rFonts w:ascii="Times New Roman" w:hAnsi="Times New Roman"/>
        </w:rPr>
        <w:t>necessárias para tal exercício, observado</w:t>
      </w:r>
      <w:proofErr w:type="gramEnd"/>
      <w:r>
        <w:rPr>
          <w:rFonts w:ascii="Times New Roman" w:hAnsi="Times New Roman"/>
        </w:rPr>
        <w:t xml:space="preserve"> o disposto na política de voto do fundo.</w:t>
      </w:r>
      <w:bookmarkEnd w:id="76"/>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57.  A contratação de terceiros devidamente habilitados ou autorizados para a prestação dos serviços de administração, conforme mencionado no art. 56, é faculdade do fundo, sendo indispensável </w:t>
      </w:r>
      <w:proofErr w:type="gramStart"/>
      <w:r>
        <w:rPr>
          <w:rFonts w:ascii="Times New Roman" w:hAnsi="Times New Roman"/>
          <w:strike/>
        </w:rPr>
        <w:t>a</w:t>
      </w:r>
      <w:proofErr w:type="gramEnd"/>
      <w:r>
        <w:rPr>
          <w:rFonts w:ascii="Times New Roman" w:hAnsi="Times New Roman"/>
          <w:strike/>
        </w:rPr>
        <w:t xml:space="preserve"> contratação dos serviços previstos nos incisos III, IV, V e VI, apenas quando não estiver o administrador devidamente autorizado ou credenciado para a sua prestação.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57.  A contratação de terceiros devidamente habilitados ou autorizados para a prestação dos serviços de administração, conforme mencionado no art. 56, é faculdade do fundo, sendo obrigatória a contratação dos serviços previstos nos incisos III, IV, V e VI, apenas quando não estiver o administrador devidamente autorizado ou credenciado para a sua prestação. </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25"/>
        </w:numPr>
        <w:ind w:left="0" w:firstLine="567"/>
        <w:jc w:val="both"/>
        <w:rPr>
          <w:rFonts w:ascii="Times New Roman" w:hAnsi="Times New Roman"/>
          <w:b/>
          <w:strike/>
        </w:rPr>
      </w:pPr>
      <w:r>
        <w:rPr>
          <w:rFonts w:ascii="Times New Roman" w:hAnsi="Times New Roman"/>
          <w:b/>
          <w:strike/>
        </w:rPr>
        <w:t xml:space="preserve">Caput com redação dada pela Instrução CVM nº 411, de 26 de novembro de 2004. </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57.  A contratação de terceiros devidamente habilitados ou autorizados para a prestação dos serviços de administração, conforme mencionado no art. 56, é faculdade do fundo, sendo obrigatória a contratação dos serviços de auditoria independente (art. 84) e, quando não estiver o administrador devidamente autorizado ou credenciado para a sua prestação, os serviços previstos nos incisos III, IV, V e VI.</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Caput do Art. 57 com a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Compete ao administrador, na qualidade de representante do fundo, efetuar as contratações dos prestadores de serviços, mediante prévia e criteriosa análise e seleção do contratado, devendo, ainda, figurar no contrato como interveniente anuente.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Os contratos firmados na forma do § 1º, referentes aos serviços previstos nos incisos I, III, V e VI, do § 1º, do art. 56, deverão conter cláusula que estipule a responsabilidade solidária entre o administrador do fundo e os terceiros contratados pelo fundo, por eventuais prejuízos </w:t>
      </w:r>
      <w:r>
        <w:rPr>
          <w:rFonts w:ascii="Times New Roman" w:hAnsi="Times New Roman"/>
          <w:strike/>
        </w:rPr>
        <w:lastRenderedPageBreak/>
        <w:t>causados aos cotistas em virtude das condutas contrárias à lei, ao regulamento e aos atos normativos expedidos pela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Os contratos firmados na forma do § 1º, referentes aos serviços previstos nos incisos I, III, V e VII do § 1º do art. 56, deverão conter cláusula que estipule a responsabilidade solidária entre o administrador do fundo e os terceiros contratados pelo fundo, por eventuais prejuízos causados aos cotistas em virtude das condutas contrárias à lei, ao regulamento e aos atos normativos expedidos pela CVM.</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26"/>
        </w:numPr>
        <w:ind w:left="0" w:firstLine="567"/>
        <w:jc w:val="both"/>
        <w:rPr>
          <w:rFonts w:ascii="Times New Roman" w:hAnsi="Times New Roman"/>
          <w:b/>
          <w:strike/>
        </w:rPr>
      </w:pPr>
      <w:r>
        <w:rPr>
          <w:rFonts w:ascii="Times New Roman" w:hAnsi="Times New Roman"/>
          <w:b/>
          <w:strike/>
        </w:rPr>
        <w:t>§2º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BodyTextIndent2"/>
        <w:tabs>
          <w:tab w:val="left" w:leader="dot" w:pos="5103"/>
        </w:tabs>
        <w:ind w:firstLine="540"/>
      </w:pPr>
      <w:r>
        <w:t>§ 2º</w:t>
      </w:r>
      <w:proofErr w:type="gramStart"/>
      <w:r>
        <w:t xml:space="preserve">  </w:t>
      </w:r>
      <w:proofErr w:type="gramEnd"/>
      <w:r>
        <w:t>Os contratos firmados na forma do § 1º, referentes aos serviços prestados nos incisos I, III e V do § 1º do art. 56, deverão conter cláusula que estipule a responsabilidade solidária entre o administrador do fundo e os terceiros contratados pelo fundo, por eventuais prejuízos causados aos cotistas em virtude das condutas contrárias à lei, ao regulamento e aos atos normativos expedidos pela CVM.</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456, de 22 de junho de 2007.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Independente da responsabilidade solidária a que se refere o § 2º, o administrador responde por prejuízos decorrentes de atos e omissões próprios a que der causa, sempre que agir de forma contrária à lei, ao regulamento e aos atos normativos expedidos pela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Os contratos de prestação de serviços de administração firmados com terceiros pelo administrador, em nome do fundo, devem ser mantidos pelo administrador e respectivos contratados à disposição da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§5º</w:t>
      </w:r>
      <w:proofErr w:type="gramStart"/>
      <w:r>
        <w:rPr>
          <w:rFonts w:ascii="Times New Roman" w:hAnsi="Times New Roman"/>
        </w:rPr>
        <w:t xml:space="preserve">  </w:t>
      </w:r>
      <w:proofErr w:type="gramEnd"/>
      <w:r>
        <w:rPr>
          <w:rFonts w:ascii="Times New Roman" w:hAnsi="Times New Roman"/>
        </w:rPr>
        <w:t>Sem prejuízo do disposto no § 2º, o administrador e cada prestador de serviço contratado respondem perante a CVM, na esfera de suas respectivas competências, por seus próprios atos e omissões contrários à lei, ao regulamento do fundo e às disposições regulamentares aplicáveis.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§6º</w:t>
      </w:r>
      <w:proofErr w:type="gramStart"/>
      <w:r>
        <w:rPr>
          <w:rFonts w:ascii="Times New Roman" w:hAnsi="Times New Roman"/>
        </w:rPr>
        <w:t xml:space="preserve">  </w:t>
      </w:r>
      <w:proofErr w:type="gramEnd"/>
      <w:r>
        <w:rPr>
          <w:rFonts w:ascii="Times New Roman" w:hAnsi="Times New Roman"/>
        </w:rPr>
        <w:t xml:space="preserve">Os fundos administrados por instituições financeiras não precisam contratar os serviços previstos nos incisos III e V, do art. 56 quando os mesmos forem executados pelos seus administradores, que nestes casos serão considerados autorizadas para a sua prestação.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58.  O administrador, observadas as limitações legais e as previstas nesta Instrução, tem poderes para praticar todos os atos necessários ao funcionamento do fundo de investimento, sendo responsável pela constituição do fundo e pela prestação de informações à CVM, na forma desta Instrução e quando solicitada.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59.  Caso o administrador não seja credenciado pela CVM como prestador de serviços de custódia de valores mobiliários, o fundo deve contratar instituição credenciada para esta atividade.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Os contratos de custódia devem conter cláusula que: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estipule que somente as ordens emitidas pelo administrador, pelo gestor ou por seus representantes legais ou mandatários, devidamente autorizado, podem ser acatadas pela instituição </w:t>
      </w:r>
      <w:proofErr w:type="spellStart"/>
      <w:r>
        <w:rPr>
          <w:rFonts w:ascii="Times New Roman" w:hAnsi="Times New Roman"/>
        </w:rPr>
        <w:t>custodiante</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vede ao </w:t>
      </w:r>
      <w:proofErr w:type="spellStart"/>
      <w:r>
        <w:rPr>
          <w:rFonts w:ascii="Times New Roman" w:hAnsi="Times New Roman"/>
        </w:rPr>
        <w:t>custodiante</w:t>
      </w:r>
      <w:proofErr w:type="spellEnd"/>
      <w:r>
        <w:rPr>
          <w:rFonts w:ascii="Times New Roman" w:hAnsi="Times New Roman"/>
        </w:rPr>
        <w:t xml:space="preserve"> a execução de ordens que não estejam diretamente vinculadas às operações do fundo;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estipule com clareza o preço dos serviços.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60.  As ordens de compra e venda de títulos e valores mobiliários e outros ativos disponíveis no âmbito do mercado financeiro e de capitais devem sempre ser </w:t>
      </w:r>
      <w:proofErr w:type="gramStart"/>
      <w:r>
        <w:rPr>
          <w:rFonts w:ascii="Times New Roman" w:hAnsi="Times New Roman"/>
          <w:strike/>
        </w:rPr>
        <w:t>expedidas com a identificação precisa do fundo de investimento em nome</w:t>
      </w:r>
      <w:proofErr w:type="gramEnd"/>
      <w:r>
        <w:rPr>
          <w:rFonts w:ascii="Times New Roman" w:hAnsi="Times New Roman"/>
          <w:strike/>
        </w:rPr>
        <w:t xml:space="preserve"> do qual elas devem ser executadas.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Art. 60.  As ordens de compra e venda de ativos financeiros devem sempre ser expedidas com a identificação precisa do fundo de investimento em nome do qual elas devem ser executadas.</w:t>
      </w:r>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Caput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Quando uma mesma pessoa jurídica administrar diversos fundos, será admitido o grupamento de ordens, desde que o administrador tenha implantado sistema que possibilite o rateio, entre os fundos, das compras e vendas feitas, através de critérios </w:t>
      </w:r>
      <w:proofErr w:type="spellStart"/>
      <w:r>
        <w:rPr>
          <w:rFonts w:ascii="Times New Roman" w:hAnsi="Times New Roman"/>
        </w:rPr>
        <w:t>eqüitativos</w:t>
      </w:r>
      <w:proofErr w:type="spellEnd"/>
      <w:r>
        <w:rPr>
          <w:rFonts w:ascii="Times New Roman" w:hAnsi="Times New Roman"/>
        </w:rPr>
        <w:t xml:space="preserve"> e preestabelecidos, devendo o registro de tal repartição ser mantido à disposição da CVM pelo período mínimo de </w:t>
      </w:r>
      <w:proofErr w:type="gramStart"/>
      <w:r>
        <w:rPr>
          <w:rFonts w:ascii="Times New Roman" w:hAnsi="Times New Roman"/>
        </w:rPr>
        <w:t>5</w:t>
      </w:r>
      <w:proofErr w:type="gramEnd"/>
      <w:r>
        <w:rPr>
          <w:rFonts w:ascii="Times New Roman" w:hAnsi="Times New Roman"/>
        </w:rPr>
        <w:t xml:space="preserve"> (cinco) anos.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Da Remuneração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61.  O regulamento deve dispor sobre a taxa de administração, que remunerará todos os serviços indicados nos incisos I a V do § 1º do art. 56, podendo haver remuneração baseada no resultado do fundo (taxa de </w:t>
      </w:r>
      <w:proofErr w:type="gramStart"/>
      <w:r>
        <w:rPr>
          <w:rFonts w:ascii="Times New Roman" w:hAnsi="Times New Roman"/>
        </w:rPr>
        <w:t>performance</w:t>
      </w:r>
      <w:proofErr w:type="gramEnd"/>
      <w:r>
        <w:rPr>
          <w:rFonts w:ascii="Times New Roman" w:hAnsi="Times New Roman"/>
        </w:rPr>
        <w:t>) nos termos desta Instrução, bem como taxa de ingresso e saída.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Cumpre ao administrador zelar para que as despesas com a contratação de terceiros prestadores de serviços não excedam o montante total da taxa de administração fixada no </w:t>
      </w:r>
      <w:r>
        <w:rPr>
          <w:rFonts w:ascii="Times New Roman" w:hAnsi="Times New Roman"/>
        </w:rPr>
        <w:lastRenderedPageBreak/>
        <w:t xml:space="preserve">regulamento, correndo às suas expensas o pagamento de quaisquer despesas que ultrapassem esse limite.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As taxas previstas no caput não podem ser aumentadas sem prévia aprovação da </w:t>
      </w:r>
      <w:proofErr w:type="spellStart"/>
      <w:r>
        <w:rPr>
          <w:rFonts w:ascii="Times New Roman" w:hAnsi="Times New Roman"/>
          <w:strike/>
        </w:rPr>
        <w:t>assembléia</w:t>
      </w:r>
      <w:proofErr w:type="spellEnd"/>
      <w:r>
        <w:rPr>
          <w:rFonts w:ascii="Times New Roman" w:hAnsi="Times New Roman"/>
          <w:strike/>
        </w:rPr>
        <w:t xml:space="preserve"> geral, mas podem ser reduzidas unilateralmente pelo administrador, que deve comunicar esse fato, de imediato, à CVM e aos cotistas, promovendo a devida alteração no regulamento e, se for o caso, no prospecto.</w:t>
      </w:r>
    </w:p>
    <w:p w:rsidR="00B2445D" w:rsidRDefault="00B2445D" w:rsidP="00B2445D">
      <w:pPr>
        <w:tabs>
          <w:tab w:val="left" w:pos="5103"/>
        </w:tabs>
        <w:spacing w:line="312" w:lineRule="auto"/>
        <w:ind w:left="1418"/>
        <w:jc w:val="both"/>
        <w:rPr>
          <w:szCs w:val="20"/>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As taxas previstas no caput não podem ser aumentadas sem prévia aprovação da assembleia geral, mas podem ser reduzidas unilateralmente pelo administrador, que deve comunicar esse fato, de imediato, à CVM e aos cotistas, promovendo a devida alteração no regulamento e, se for o caso, </w:t>
      </w:r>
      <w:bookmarkStart w:id="77" w:name="_DV_C101"/>
      <w:r>
        <w:rPr>
          <w:rFonts w:ascii="Times New Roman" w:hAnsi="Times New Roman"/>
        </w:rPr>
        <w:t xml:space="preserve">na lâmina e </w:t>
      </w:r>
      <w:bookmarkStart w:id="78" w:name="_DV_M393"/>
      <w:bookmarkEnd w:id="77"/>
      <w:bookmarkEnd w:id="78"/>
      <w:r>
        <w:rPr>
          <w:rFonts w:ascii="Times New Roman" w:hAnsi="Times New Roman"/>
        </w:rPr>
        <w:t>no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Nos fundos abertos, as taxas de administração e de performance devem ser provisionadas por dia útil, sempre como despesa do fundo e apropriadas conforme estabelecido no regulamento.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Os fundos de investimento e os fundos de investimento em cotas, não destinados exclusivamente a investidores qualificados, que adquirirem, nos limites desta Instrução, cotas de outros fundos de investimento, deverão estabelecer em seu regulamento que a taxa de administração cobrada pelo administrador compreende a taxa de administração dos fundos de investimento em que investirem.</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27"/>
        </w:numPr>
        <w:ind w:left="0" w:firstLine="567"/>
        <w:jc w:val="both"/>
        <w:rPr>
          <w:rFonts w:ascii="Times New Roman" w:hAnsi="Times New Roman"/>
          <w:b/>
        </w:rPr>
      </w:pPr>
      <w:r>
        <w:rPr>
          <w:rFonts w:ascii="Times New Roman" w:hAnsi="Times New Roman"/>
          <w:b/>
        </w:rPr>
        <w:t>§4º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§5º</w:t>
      </w:r>
      <w:proofErr w:type="gramStart"/>
      <w:r>
        <w:rPr>
          <w:rFonts w:ascii="Times New Roman" w:hAnsi="Times New Roman"/>
        </w:rPr>
        <w:t xml:space="preserve">  </w:t>
      </w:r>
      <w:proofErr w:type="gramEnd"/>
      <w:r>
        <w:rPr>
          <w:rFonts w:ascii="Times New Roman" w:hAnsi="Times New Roman"/>
        </w:rPr>
        <w:t>O disposto no parágrafo anterior não impede que o regulamento do fundo estabeleça uma taxa de administração máxima, compreendendo a taxa de administração dos fundos em que invista, e uma taxa de administração mínima, que não inclua a taxa de administração dos fundos em que invista, caso em que: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o prospecto e qualquer material de divulgação que se refira à taxa de administração deverão destacar ambas as taxas, esclarecendo sua distinção; 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o prospecto </w:t>
      </w:r>
      <w:bookmarkStart w:id="79" w:name="_DV_C103"/>
      <w:r>
        <w:rPr>
          <w:rFonts w:ascii="Times New Roman" w:hAnsi="Times New Roman"/>
        </w:rPr>
        <w:t>deve</w:t>
      </w:r>
      <w:bookmarkStart w:id="80" w:name="_DV_M398"/>
      <w:bookmarkEnd w:id="79"/>
      <w:bookmarkEnd w:id="80"/>
      <w:r>
        <w:rPr>
          <w:rFonts w:ascii="Times New Roman" w:hAnsi="Times New Roman"/>
        </w:rPr>
        <w:t xml:space="preserve"> destacar ambas as taxas, esclarecendo sua distinção;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 prospecto e qualquer material de divulgação que efetue comparação de qualquer natureza entre fundos, deverá referir-se, na comparação, apenas à taxa máxima, permitida a referência, em nota, à taxa mínima e à taxa efetiva em outros períodos, se houver.</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8"/>
        </w:numPr>
        <w:ind w:left="0" w:firstLine="567"/>
        <w:jc w:val="both"/>
        <w:rPr>
          <w:rFonts w:ascii="Times New Roman" w:hAnsi="Times New Roman"/>
          <w:b/>
        </w:rPr>
      </w:pPr>
      <w:r>
        <w:rPr>
          <w:rFonts w:ascii="Times New Roman" w:hAnsi="Times New Roman"/>
          <w:b/>
        </w:rPr>
        <w:t>§5º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§6</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Além das despesas com os serviços referidos no caput, a taxa de administração poderá abranger as despesas com o serviço indicado no inciso VII do § 1º do art. 56, observado o disposto nos §§ 5º e 7º do art. 41.</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29"/>
        </w:numPr>
        <w:ind w:left="0" w:firstLine="567"/>
        <w:jc w:val="both"/>
        <w:rPr>
          <w:rFonts w:ascii="Times New Roman" w:hAnsi="Times New Roman"/>
          <w:b/>
        </w:rPr>
      </w:pPr>
      <w:r>
        <w:rPr>
          <w:rFonts w:ascii="Times New Roman" w:hAnsi="Times New Roman"/>
          <w:b/>
        </w:rPr>
        <w:t xml:space="preserve">§6º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62.  O regulamento poderá estabelecer a cobrança da taxa de </w:t>
      </w:r>
      <w:proofErr w:type="gramStart"/>
      <w:r>
        <w:rPr>
          <w:rFonts w:ascii="Times New Roman" w:hAnsi="Times New Roman"/>
        </w:rPr>
        <w:t>performance</w:t>
      </w:r>
      <w:proofErr w:type="gramEnd"/>
      <w:r>
        <w:rPr>
          <w:rFonts w:ascii="Times New Roman" w:hAnsi="Times New Roman"/>
        </w:rPr>
        <w:t xml:space="preserve">, ressalvada a vedação de que tratam os </w:t>
      </w:r>
      <w:proofErr w:type="spellStart"/>
      <w:r>
        <w:rPr>
          <w:rFonts w:ascii="Times New Roman" w:hAnsi="Times New Roman"/>
        </w:rPr>
        <w:t>arts</w:t>
      </w:r>
      <w:proofErr w:type="spellEnd"/>
      <w:r>
        <w:rPr>
          <w:rFonts w:ascii="Times New Roman" w:hAnsi="Times New Roman"/>
        </w:rPr>
        <w:t>. 93, 94 e 95.</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 xml:space="preserve">A cobrança da taxa de performance deve atender aos seguintes critérios: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vinculação a um parâmetro de referência compatível com a política de investimento do fundo e com os títulos que efetivamente a componham;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vedação da vinculação da taxa de </w:t>
      </w:r>
      <w:proofErr w:type="gramStart"/>
      <w:r>
        <w:rPr>
          <w:rFonts w:ascii="Times New Roman" w:hAnsi="Times New Roman"/>
        </w:rPr>
        <w:t>performance</w:t>
      </w:r>
      <w:proofErr w:type="gramEnd"/>
      <w:r>
        <w:rPr>
          <w:rFonts w:ascii="Times New Roman" w:hAnsi="Times New Roman"/>
        </w:rPr>
        <w:t xml:space="preserve"> a percentuais inferiores a 100% do parâmetro de referência;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cobrança por período, no mínimo, semestral;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cobrança após a dedução de todas as despesas, inclusive da taxa de administração.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Ressalvado o disposto no parágrafo 4º deste artigo, é vedada a cobrança de taxa de performance quando o valor da cota do fundo for inferior ao seu valor por ocasião da última cobrança efetuada.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 xml:space="preserve">É permitida a cobrança de ajuste sobre a performance individual do cotista que aplicar recursos no fundo posteriormente à data da última cobrança, exclusivamente nos casos em que o valor da cota adquirida for inferior ao valor da mesma na data da última cobrança de performance efetuada.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Os fundos destinados exclusivamente a investidores qualificados podem cobrar taxa de performance de acordo com o que dispuser o seu regulamento, estando dispensados de observar o disposto neste artigo.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§5º</w:t>
      </w:r>
      <w:proofErr w:type="gramStart"/>
      <w:r>
        <w:rPr>
          <w:rFonts w:ascii="Times New Roman" w:hAnsi="Times New Roman"/>
          <w:strike/>
        </w:rPr>
        <w:t xml:space="preserve">  </w:t>
      </w:r>
      <w:proofErr w:type="gramEnd"/>
      <w:r>
        <w:rPr>
          <w:rFonts w:ascii="Times New Roman" w:hAnsi="Times New Roman"/>
          <w:strike/>
        </w:rPr>
        <w:t>Os fundos não destinados exclusivamente a investidores qualificados que adquirirem, nos limites desta Instrução, cotas de outros Fundos de Investimento, deverão estabelecer em seu regulamento que a taxa de administração cobrada pelo administrador compreende a taxa de administração dos Fundos de Investimento em que investirem, observado o disposto no parágrafo 1º do art. 91 e no § 3º do art. 114, se for o caso.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0"/>
        </w:numPr>
        <w:ind w:left="0" w:firstLine="567"/>
        <w:jc w:val="both"/>
        <w:rPr>
          <w:rFonts w:ascii="Times New Roman" w:hAnsi="Times New Roman"/>
          <w:b/>
        </w:rPr>
      </w:pPr>
      <w:r>
        <w:rPr>
          <w:rFonts w:ascii="Times New Roman" w:hAnsi="Times New Roman"/>
          <w:b/>
        </w:rPr>
        <w:t>§5º</w:t>
      </w:r>
      <w:proofErr w:type="gramStart"/>
      <w:r>
        <w:rPr>
          <w:rFonts w:ascii="Times New Roman" w:hAnsi="Times New Roman"/>
          <w:b/>
        </w:rPr>
        <w:t xml:space="preserve">  </w:t>
      </w:r>
      <w:proofErr w:type="gramEnd"/>
      <w:r>
        <w:rPr>
          <w:rFonts w:ascii="Times New Roman" w:hAnsi="Times New Roman"/>
          <w:b/>
        </w:rPr>
        <w:t xml:space="preserve">revogado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63.  Sem prejuízo das responsabilidades de cada um dos prestadores de serviços de administração do fundo, podem ser constituídos, por iniciativa dos cotistas, do administrador ou do gestor, conselhos consultivos, comitês técnicos ou de investimentos, os quais não podem ser remunerados </w:t>
      </w:r>
      <w:proofErr w:type="gramStart"/>
      <w:r>
        <w:rPr>
          <w:rFonts w:ascii="Times New Roman" w:hAnsi="Times New Roman"/>
        </w:rPr>
        <w:t>às expensas do</w:t>
      </w:r>
      <w:proofErr w:type="gramEnd"/>
      <w:r>
        <w:rPr>
          <w:rFonts w:ascii="Times New Roman" w:hAnsi="Times New Roman"/>
        </w:rPr>
        <w:t xml:space="preserve">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As atribuições, a composição e os requisitos para convocação e deliberação dos conselhos e comitês deverão estar estabelecidos em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A existência de conselhos não exime o administrador ou o gestor da responsabilidade sobre as operações da carteira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Os membros do conselho ou comitê deverão informar ao administrador, e este deverá informar aos cotistas, qualquer situação que os coloque, potencial ou efetivamente, em situação de conflito de interesses com 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r>
        <w:rPr>
          <w:rFonts w:ascii="Times New Roman" w:hAnsi="Times New Roman"/>
        </w:rPr>
        <w:t>Das Vedações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64.  É vedado ao administrador praticar os seguintes atos em nome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receber depósito em conta corrente;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contrair ou efetuar empréstimos, salvo em modalidade autorizada pela CVM;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prestar fiança, aval, aceite ou coobrigar-se sob qualquer outra forma;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vender cotas à prestação, sem prejuízo da integralização a prazo de cotas subscritas;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prometer rendimento predeterminado aos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realizar operações com ações fora de bolsa de valores ou de mercado de balcão organizado por entidade autorizada pela CVM, ressalvadas as hipóteses de distribuições públicas, de exercício de direito de preferência e de conversão de debêntures em ações, exercício de bônus de subscrição e nos casos em que a CVM tenha concedido prévia e expressa autorização;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utilizar recursos do fundo para pagamento de seguro contra perdas financeiras de cotistas; </w:t>
      </w:r>
      <w:proofErr w:type="gramStart"/>
      <w:r>
        <w:rPr>
          <w:rFonts w:ascii="Times New Roman" w:hAnsi="Times New Roman"/>
        </w:rPr>
        <w:t>e</w:t>
      </w:r>
      <w:proofErr w:type="gramEnd"/>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1"/>
        </w:numPr>
        <w:ind w:left="0" w:firstLine="567"/>
        <w:jc w:val="both"/>
        <w:rPr>
          <w:rFonts w:ascii="Times New Roman" w:hAnsi="Times New Roman"/>
          <w:b/>
        </w:rPr>
      </w:pPr>
      <w:r>
        <w:rPr>
          <w:rFonts w:ascii="Times New Roman" w:hAnsi="Times New Roman"/>
          <w:b/>
        </w:rPr>
        <w:t xml:space="preserve">Inciso VII 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VIII – praticar qualquer ato de liberalidade.</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2"/>
        </w:numPr>
        <w:ind w:left="0" w:firstLine="567"/>
        <w:jc w:val="both"/>
        <w:rPr>
          <w:rFonts w:ascii="Times New Roman" w:hAnsi="Times New Roman"/>
          <w:b/>
        </w:rPr>
      </w:pPr>
      <w:r>
        <w:rPr>
          <w:rFonts w:ascii="Times New Roman" w:hAnsi="Times New Roman"/>
          <w:b/>
        </w:rPr>
        <w:lastRenderedPageBreak/>
        <w:t xml:space="preserve">Inciso VIII 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Os fundos de investimento poderão utilizar seus ativos para prestação de garantias de operações próprias realizadas em bolsas, bem como emprestar e tomar títulos e valores mobiliários em empréstimo, desde que tais operações de empréstimo sejam cursadas exclusivamente através de serviço autorizado pela CVM ou pelo Banco Central do Brasil.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Os fundos de investimento poderão utilizar seus ativos para prestação de garantias de operações próprias, bem como emprestar e tomar títulos e valores mobiliários em empréstimo, desde que tais operações de empréstimo sejam cursadas exclusivamente através de serviço autorizado pelo Banco Central do Brasil ou pela CVM.</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67"/>
        <w:jc w:val="both"/>
        <w:rPr>
          <w:rFonts w:ascii="Times New Roman" w:hAnsi="Times New Roman"/>
          <w:b/>
          <w:strike/>
        </w:rPr>
      </w:pPr>
      <w:r>
        <w:rPr>
          <w:rFonts w:ascii="Times New Roman" w:hAnsi="Times New Roman"/>
          <w:b/>
          <w:strike/>
        </w:rPr>
        <w:t xml:space="preserve">Parágrafo único com redação dada pela Instrução CVM nº 450, de 30 de março de </w:t>
      </w:r>
      <w:proofErr w:type="gramStart"/>
      <w:r>
        <w:rPr>
          <w:rFonts w:ascii="Times New Roman" w:hAnsi="Times New Roman"/>
          <w:b/>
          <w:strike/>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Os fundos de investimento poderão utilizar seus ativos para prestação de garantias de operações próprias, bem como emprestar e tomar </w:t>
      </w:r>
      <w:bookmarkStart w:id="81" w:name="_DV_C105"/>
      <w:r>
        <w:rPr>
          <w:rFonts w:ascii="Times New Roman" w:hAnsi="Times New Roman"/>
        </w:rPr>
        <w:t>ativos financeiros</w:t>
      </w:r>
      <w:bookmarkStart w:id="82" w:name="_DV_M426"/>
      <w:bookmarkEnd w:id="81"/>
      <w:bookmarkEnd w:id="82"/>
      <w:r>
        <w:rPr>
          <w:rFonts w:ascii="Times New Roman" w:hAnsi="Times New Roman"/>
        </w:rPr>
        <w:t xml:space="preserve"> em empréstimo, desde que tais operações de empréstimo sejam cursadas exclusivamente através de serviço autorizado pelo Banco Central do Brasil ou pela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Parágrafo único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w:t>
      </w:r>
    </w:p>
    <w:p w:rsidR="00B2445D" w:rsidRDefault="00B2445D" w:rsidP="00B2445D">
      <w:pPr>
        <w:pStyle w:val="NormalWeb"/>
        <w:ind w:firstLine="567"/>
        <w:jc w:val="center"/>
        <w:rPr>
          <w:rFonts w:ascii="Times New Roman" w:hAnsi="Times New Roman"/>
        </w:rPr>
      </w:pPr>
      <w:r>
        <w:rPr>
          <w:rFonts w:ascii="Times New Roman" w:hAnsi="Times New Roman"/>
        </w:rPr>
        <w:t>Das Obrigações do Administrador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65.  Incluem-se entre as obrigações do administrador, além das demais previstas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diligenciar para que sejam mantidos, às suas expensas, atualizados e em perfeita ordem: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o registro de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b) o livro de atas das </w:t>
      </w:r>
      <w:proofErr w:type="spellStart"/>
      <w:r>
        <w:rPr>
          <w:rFonts w:ascii="Times New Roman" w:hAnsi="Times New Roman"/>
        </w:rPr>
        <w:t>assembléias</w:t>
      </w:r>
      <w:proofErr w:type="spellEnd"/>
      <w:r>
        <w:rPr>
          <w:rFonts w:ascii="Times New Roman" w:hAnsi="Times New Roman"/>
        </w:rPr>
        <w:t xml:space="preserve"> gerais;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c) o livro ou lista de presença de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d) os pareceres do auditor independente;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e) os registros contábeis referentes às operações e ao patrimônio do fundo;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f) a documentação relativa às operações do fundo, pelo prazo de cinco anos.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no caso de instauração de procedimento administrativo pela CVM, manter a documentação referida no inciso anterior até o término do mesmo;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solicitar, se for o caso, a admissão à negociação das cotas de fundo fechado em bolsa de valores ou em mercado de balcão organizado;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IV – pagar a multa cominatória, nos termos da legislação vigente, por cada dia de atraso no cumprimento dos prazos previstos nesta Instrução;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V – exercer, ou diligenciar para que sejam exercidos, todos os direitos decorrentes do patrimônio e das atividades do fundo, ressalvado o que dispuser o regulamento sobre a política relativa ao exercício de direito de voto do fundo;</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Inciso V revogado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360"/>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VI – elaborar e divulgar as informações previstas no Capítulo VII desta Instrução;</w:t>
      </w:r>
    </w:p>
    <w:p w:rsidR="00B2445D" w:rsidRDefault="00B2445D" w:rsidP="00B2445D">
      <w:pPr>
        <w:pStyle w:val="NormalWeb"/>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VII – manter atualizado junto à CVM a lista de prestadores de serviços contratados pelo fundo;</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VII – manter atualizada junto à CVM a lista de prestadores de serviços contratados pelo fundo;</w:t>
      </w:r>
    </w:p>
    <w:p w:rsidR="00B2445D" w:rsidRDefault="00B2445D" w:rsidP="00B2445D">
      <w:pPr>
        <w:pStyle w:val="NormalWeb"/>
        <w:ind w:left="360"/>
        <w:jc w:val="both"/>
        <w:rPr>
          <w:rFonts w:ascii="Times New Roman" w:hAnsi="Times New Roman"/>
          <w:strike/>
        </w:rPr>
      </w:pPr>
    </w:p>
    <w:p w:rsidR="00B2445D" w:rsidRDefault="00B2445D" w:rsidP="00B2445D">
      <w:pPr>
        <w:pStyle w:val="NormalWeb"/>
        <w:numPr>
          <w:ilvl w:val="0"/>
          <w:numId w:val="14"/>
        </w:numPr>
        <w:ind w:left="0" w:firstLine="567"/>
        <w:jc w:val="both"/>
        <w:rPr>
          <w:rFonts w:ascii="Times New Roman" w:hAnsi="Times New Roman"/>
          <w:b/>
          <w:strike/>
        </w:rPr>
      </w:pPr>
      <w:r>
        <w:rPr>
          <w:rFonts w:ascii="Times New Roman" w:hAnsi="Times New Roman"/>
          <w:b/>
          <w:strike/>
        </w:rPr>
        <w:t xml:space="preserve">Inciso VII com redação dada pela Instrução CVM nº 450, de 30 de março de </w:t>
      </w:r>
      <w:proofErr w:type="gramStart"/>
      <w:r>
        <w:rPr>
          <w:rFonts w:ascii="Times New Roman" w:hAnsi="Times New Roman"/>
          <w:b/>
          <w:strike/>
        </w:rPr>
        <w:t>2007</w:t>
      </w:r>
      <w:proofErr w:type="gramEnd"/>
    </w:p>
    <w:p w:rsidR="00B2445D" w:rsidRDefault="00B2445D" w:rsidP="00B2445D">
      <w:pPr>
        <w:pStyle w:val="NormalWeb"/>
        <w:jc w:val="both"/>
        <w:rPr>
          <w:rFonts w:ascii="Times New Roman" w:hAnsi="Times New Roman"/>
          <w:b/>
        </w:rPr>
      </w:pPr>
    </w:p>
    <w:p w:rsidR="00B2445D" w:rsidRDefault="00B2445D" w:rsidP="00B2445D">
      <w:pPr>
        <w:pStyle w:val="BodyTextIndent2"/>
        <w:tabs>
          <w:tab w:val="left" w:leader="dot" w:pos="5103"/>
        </w:tabs>
        <w:ind w:firstLine="540"/>
      </w:pPr>
      <w:r>
        <w:t>VII – manter atualizada junto à CVM a lista de prestadores de serviços contratados pelo fundo, bem como as demais informações cadastrais;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
        </w:numPr>
        <w:ind w:left="0" w:firstLine="567"/>
        <w:jc w:val="both"/>
        <w:rPr>
          <w:rFonts w:ascii="Times New Roman" w:hAnsi="Times New Roman"/>
          <w:b/>
        </w:rPr>
      </w:pPr>
      <w:r>
        <w:rPr>
          <w:rFonts w:ascii="Times New Roman" w:hAnsi="Times New Roman"/>
          <w:b/>
        </w:rPr>
        <w:t xml:space="preserve">Inciso VII com redação dada pela Instrução CVM nº 456, de 22 de junho de 2007.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VIII – empregar, na defesa dos direitos do cotista, a diligência exigida pelas circunstâncias, praticando todos os atos necessários para assegurá-los, e adotando as medidas judiciais cabíveis;</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Inciso VIII revogado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IX – exercer suas atividades buscando sempre as melhores condições para o fundo; </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Inciso IX revogado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 – custear as despesas com propaganda do fundo, inclusive com a elaboração do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custear as despesas com </w:t>
      </w:r>
      <w:bookmarkStart w:id="83" w:name="_DV_C108"/>
      <w:r>
        <w:rPr>
          <w:rFonts w:ascii="Times New Roman" w:hAnsi="Times New Roman"/>
        </w:rPr>
        <w:t>elaboração e distribuição do material de divulgação</w:t>
      </w:r>
      <w:bookmarkStart w:id="84" w:name="_DV_M443"/>
      <w:bookmarkEnd w:id="83"/>
      <w:bookmarkEnd w:id="84"/>
      <w:r>
        <w:rPr>
          <w:rFonts w:ascii="Times New Roman" w:hAnsi="Times New Roman"/>
        </w:rPr>
        <w:t xml:space="preserve"> do fundo, inclusive </w:t>
      </w:r>
      <w:bookmarkStart w:id="85" w:name="_DV_M444"/>
      <w:bookmarkEnd w:id="85"/>
      <w:r>
        <w:rPr>
          <w:rFonts w:ascii="Times New Roman" w:hAnsi="Times New Roman"/>
        </w:rPr>
        <w:t>do prospecto</w:t>
      </w:r>
      <w:bookmarkStart w:id="86" w:name="_DV_C110"/>
      <w:r>
        <w:rPr>
          <w:rFonts w:ascii="Times New Roman" w:hAnsi="Times New Roman"/>
        </w:rPr>
        <w:t xml:space="preserve"> e da lâmina</w:t>
      </w:r>
      <w:bookmarkStart w:id="87" w:name="_DV_M445"/>
      <w:bookmarkEnd w:id="86"/>
      <w:bookmarkEnd w:id="87"/>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X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XI – transferir ao fundo qualquer benefício ou vantagem que possa alcançar em decorrência de sua condição de administrador, admitindo-se, excepcionalmente, que o administrador de fundo de cotas aplicador seja remunerado pelo administrador do fundo investido;</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Inciso XI revogado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XII – manter serviço de atendimento ao cotista, responsável pelo esclarecimento de dúvidas e pelo recebimento de reclamações, conforme definido no regulamento ou prospecto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XIII – observar as disposições constantes do regulamento e do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XIV – cumprir as deliberações da </w:t>
      </w:r>
      <w:proofErr w:type="spellStart"/>
      <w:r>
        <w:rPr>
          <w:rFonts w:ascii="Times New Roman" w:hAnsi="Times New Roman"/>
        </w:rPr>
        <w:t>assembléia</w:t>
      </w:r>
      <w:proofErr w:type="spellEnd"/>
      <w:r>
        <w:rPr>
          <w:rFonts w:ascii="Times New Roman" w:hAnsi="Times New Roman"/>
        </w:rPr>
        <w:t xml:space="preserve"> geral;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 – fiscalizar os serviços prestados por terceiros contratados pelo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serviço de atendimento ao cotista deve ser subordinado diretamente ao diretor responsável perante a CVM pela administração do fundo ou a outro diretor especialmente indicado à CVM para essa função, ou ainda, conforme o caso, a um diretor indicado pela instituição responsável pela distribuição ou gestão do fundo, contratado pelo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 – A</w:t>
      </w:r>
    </w:p>
    <w:p w:rsidR="00B2445D" w:rsidRDefault="00B2445D" w:rsidP="00B2445D">
      <w:pPr>
        <w:pStyle w:val="NormalWeb"/>
        <w:ind w:firstLine="567"/>
        <w:jc w:val="center"/>
        <w:rPr>
          <w:rFonts w:ascii="Times New Roman" w:hAnsi="Times New Roman"/>
        </w:rPr>
      </w:pPr>
      <w:r>
        <w:rPr>
          <w:rFonts w:ascii="Times New Roman" w:hAnsi="Times New Roman"/>
        </w:rPr>
        <w:t>Das Normas de Conduta</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IV-A acrescentada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65 –A.</w:t>
      </w:r>
      <w:proofErr w:type="gramStart"/>
      <w:r>
        <w:rPr>
          <w:rFonts w:ascii="Times New Roman" w:hAnsi="Times New Roman"/>
        </w:rPr>
        <w:t xml:space="preserve">  </w:t>
      </w:r>
      <w:proofErr w:type="gramEnd"/>
      <w:r>
        <w:rPr>
          <w:rFonts w:ascii="Times New Roman" w:hAnsi="Times New Roman"/>
        </w:rPr>
        <w:t>O administrador e o gestor estão obrigados a adotar as seguintes normas de conduta: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exercer suas atividades buscando sempre as melhores condições para o fundo, empregando o cuidado e a diligência que todo homem ativo e probo costuma dispensar à </w:t>
      </w:r>
      <w:r>
        <w:rPr>
          <w:rFonts w:ascii="Times New Roman" w:hAnsi="Times New Roman"/>
        </w:rPr>
        <w:lastRenderedPageBreak/>
        <w:t>administração de seus próprios negócios, atuando com lealdade em relação aos interesses dos cotistas e do fundo, evitando práticas que possam ferir a relação fiduciária com eles mantida, e respondendo por quaisquer infrações ou irregularidades que venham a ser cometidas sob sua administração ou gestão;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exercer, ou diligenciar para que sejam exercidos, todos os direitos decorrentes do patrimônio e das atividades do fundo, ressalvado o que dispuser o regulamento sobre a política relativa ao exercício de direito de voto do fundo;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empregar, na defesa dos direitos do cotista, a diligência exigida pelas circunstâncias, praticando todos os atos necessários para assegurá-los, e adotando as medidas judiciais cabíveis.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administrador e o gestor devem transferir ao fundo qualquer benefício ou vantagem que possam alcançar em decorrência de sua condição, admitindo-se, contudo, que o administrador e o gestor de fundo de cotas sejam remunerados pelo administrador do fundo investido.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Art. 65-A inserido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IV–B</w:t>
      </w:r>
    </w:p>
    <w:p w:rsidR="00B2445D" w:rsidRDefault="00B2445D" w:rsidP="00B2445D">
      <w:pPr>
        <w:pStyle w:val="NormalWeb"/>
        <w:ind w:firstLine="567"/>
        <w:jc w:val="center"/>
        <w:rPr>
          <w:rFonts w:ascii="Times New Roman" w:hAnsi="Times New Roman"/>
        </w:rPr>
      </w:pPr>
      <w:bookmarkStart w:id="88" w:name="_DV_C112"/>
      <w:r>
        <w:rPr>
          <w:rFonts w:ascii="Times New Roman" w:hAnsi="Times New Roman"/>
        </w:rPr>
        <w:t>Gerenciamento do Risco de Liquidez</w:t>
      </w:r>
      <w:bookmarkEnd w:id="88"/>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Seção IV-B incluída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bookmarkStart w:id="89" w:name="_DV_C113"/>
      <w:r>
        <w:rPr>
          <w:rFonts w:ascii="Times New Roman" w:hAnsi="Times New Roman"/>
        </w:rPr>
        <w:lastRenderedPageBreak/>
        <w:t>Art. 65–B.</w:t>
      </w:r>
      <w:proofErr w:type="gramStart"/>
      <w:r>
        <w:rPr>
          <w:rFonts w:ascii="Times New Roman" w:hAnsi="Times New Roman"/>
        </w:rPr>
        <w:t xml:space="preserve">  </w:t>
      </w:r>
      <w:proofErr w:type="gramEnd"/>
      <w:r>
        <w:rPr>
          <w:rFonts w:ascii="Times New Roman" w:hAnsi="Times New Roman"/>
        </w:rPr>
        <w:t>O administrador deve adotar as políticas, práticas e controles internos necessários para que a liquidez da carteira do fundo seja compatível com:</w:t>
      </w:r>
      <w:bookmarkEnd w:id="8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0" w:name="_DV_C114"/>
      <w:r>
        <w:rPr>
          <w:rFonts w:ascii="Times New Roman" w:hAnsi="Times New Roman"/>
        </w:rPr>
        <w:t xml:space="preserve">I – os prazos previstos no regulamento para pagamento dos pedidos de resgate; </w:t>
      </w:r>
      <w:proofErr w:type="gramStart"/>
      <w:r>
        <w:rPr>
          <w:rFonts w:ascii="Times New Roman" w:hAnsi="Times New Roman"/>
        </w:rPr>
        <w:t>e</w:t>
      </w:r>
      <w:bookmarkEnd w:id="90"/>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1" w:name="_DV_C115"/>
      <w:r>
        <w:rPr>
          <w:rFonts w:ascii="Times New Roman" w:hAnsi="Times New Roman"/>
        </w:rPr>
        <w:t>II – o cumprimento das obrigações do fundo.</w:t>
      </w:r>
      <w:bookmarkEnd w:id="91"/>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2" w:name="_DV_C116"/>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As políticas, práticas e controles internos de que trata o caput devem levar em conta, no mínimo:</w:t>
      </w:r>
      <w:bookmarkEnd w:id="92"/>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3" w:name="_DV_C117"/>
      <w:r>
        <w:rPr>
          <w:rFonts w:ascii="Times New Roman" w:hAnsi="Times New Roman"/>
        </w:rPr>
        <w:t>I – a liquidez dos diferentes ativos financeiros do fundo;</w:t>
      </w:r>
      <w:bookmarkEnd w:id="93"/>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4" w:name="_DV_C118"/>
      <w:r>
        <w:rPr>
          <w:rFonts w:ascii="Times New Roman" w:hAnsi="Times New Roman"/>
        </w:rPr>
        <w:t>II – as obrigações do fundo, incluindo depósitos de margem esperados e outras garantias;</w:t>
      </w:r>
      <w:bookmarkEnd w:id="94"/>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5" w:name="_DV_C119"/>
      <w:r>
        <w:rPr>
          <w:rFonts w:ascii="Times New Roman" w:hAnsi="Times New Roman"/>
        </w:rPr>
        <w:t>III – os valores de resgate esperados em condições ordinárias, calculados com critérios estatísticos consistentes e verificáveis;</w:t>
      </w:r>
      <w:bookmarkEnd w:id="95"/>
      <w:r>
        <w:rPr>
          <w:rFonts w:ascii="Times New Roman" w:hAnsi="Times New Roman"/>
        </w:rPr>
        <w:t xml:space="preserve">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6" w:name="_DV_C120"/>
      <w:r>
        <w:rPr>
          <w:rFonts w:ascii="Times New Roman" w:hAnsi="Times New Roman"/>
        </w:rPr>
        <w:t>IV – o grau de dispersão da propriedade das cotas.</w:t>
      </w:r>
      <w:bookmarkEnd w:id="96"/>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7" w:name="_DV_C121"/>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administrador deve submeter a carteira do fundo a testes de estresse periódicos com cenários que levem em consideração, no mínimo, as movimentações do passivo, liquidez dos ativos, obrigações e a cotização do fundo.</w:t>
      </w:r>
      <w:bookmarkEnd w:id="97"/>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8" w:name="_DV_C122"/>
      <w:r>
        <w:rPr>
          <w:rFonts w:ascii="Times New Roman" w:hAnsi="Times New Roman"/>
        </w:rPr>
        <w:lastRenderedPageBreak/>
        <w:t>§ 3º</w:t>
      </w:r>
      <w:proofErr w:type="gramStart"/>
      <w:r>
        <w:rPr>
          <w:rFonts w:ascii="Times New Roman" w:hAnsi="Times New Roman"/>
        </w:rPr>
        <w:t xml:space="preserve">  </w:t>
      </w:r>
      <w:proofErr w:type="gramEnd"/>
      <w:r>
        <w:rPr>
          <w:rFonts w:ascii="Times New Roman" w:hAnsi="Times New Roman"/>
        </w:rPr>
        <w:t>A periodicidade de que trata o § 2º deste artigo deve ser adequada às características do fundo, às variações históricas dos cenários eleitos para o teste, e às condições de mercado vigentes.</w:t>
      </w:r>
      <w:bookmarkEnd w:id="9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99" w:name="_DV_C123"/>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Os critérios utilizados na elaboração das políticas, práticas e controles internos de liquidez, inclusive em cenários de estresse, devem ser consistentes e passíveis de verificação.</w:t>
      </w:r>
      <w:bookmarkEnd w:id="9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0" w:name="_DV_C124"/>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Caso o fundo invista em cotas de outros fundos de investimento, o administrador deve diligentemente avaliar a liquidez do fundo investido, considerando, no mínimo:</w:t>
      </w:r>
      <w:bookmarkEnd w:id="10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1" w:name="_DV_C125"/>
      <w:r>
        <w:rPr>
          <w:rFonts w:ascii="Times New Roman" w:hAnsi="Times New Roman"/>
        </w:rPr>
        <w:t>I – o volume investido;</w:t>
      </w:r>
      <w:bookmarkEnd w:id="101"/>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2" w:name="_DV_C126"/>
      <w:r>
        <w:rPr>
          <w:rFonts w:ascii="Times New Roman" w:hAnsi="Times New Roman"/>
        </w:rPr>
        <w:t xml:space="preserve">II – as regras de pagamento de resgate do fundo investido; </w:t>
      </w:r>
      <w:proofErr w:type="gramStart"/>
      <w:r>
        <w:rPr>
          <w:rFonts w:ascii="Times New Roman" w:hAnsi="Times New Roman"/>
        </w:rPr>
        <w:t>e</w:t>
      </w:r>
      <w:bookmarkEnd w:id="102"/>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3" w:name="_DV_C127"/>
      <w:r>
        <w:rPr>
          <w:rFonts w:ascii="Times New Roman" w:hAnsi="Times New Roman"/>
        </w:rPr>
        <w:t xml:space="preserve">III – os sistemas e ferramentas de </w:t>
      </w:r>
      <w:proofErr w:type="gramStart"/>
      <w:r>
        <w:rPr>
          <w:rFonts w:ascii="Times New Roman" w:hAnsi="Times New Roman"/>
        </w:rPr>
        <w:t>gestão de liquidez utilizados pelo administrador e gestor do fundo investido</w:t>
      </w:r>
      <w:proofErr w:type="gramEnd"/>
      <w:r>
        <w:rPr>
          <w:rFonts w:ascii="Times New Roman" w:hAnsi="Times New Roman"/>
        </w:rPr>
        <w:t>.</w:t>
      </w:r>
      <w:bookmarkEnd w:id="103"/>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4" w:name="_DV_C128"/>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As disposições deste artigo não se aplicam aos fundos fechados.</w:t>
      </w:r>
      <w:bookmarkEnd w:id="104"/>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 65-B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V</w:t>
      </w:r>
    </w:p>
    <w:p w:rsidR="00B2445D" w:rsidRDefault="00B2445D" w:rsidP="00B2445D">
      <w:pPr>
        <w:pStyle w:val="NormalWeb"/>
        <w:ind w:firstLine="567"/>
        <w:jc w:val="center"/>
        <w:rPr>
          <w:rFonts w:ascii="Times New Roman" w:hAnsi="Times New Roman"/>
        </w:rPr>
      </w:pPr>
      <w:r>
        <w:rPr>
          <w:rFonts w:ascii="Times New Roman" w:hAnsi="Times New Roman"/>
        </w:rPr>
        <w:t>Da Substituição do Administrador e do Gestor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66.  O administrador e o gestor da carteira do fundo devem ser substituídos nas hipóteses 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descredenciamento para o exercício da atividade de administração de carteira, por decisão da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renúncia; ou</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destituição, por deliberação da </w:t>
      </w:r>
      <w:proofErr w:type="spellStart"/>
      <w:r>
        <w:rPr>
          <w:rFonts w:ascii="Times New Roman" w:hAnsi="Times New Roman"/>
        </w:rPr>
        <w:t>assembléia</w:t>
      </w:r>
      <w:proofErr w:type="spellEnd"/>
      <w:r>
        <w:rPr>
          <w:rFonts w:ascii="Times New Roman" w:hAnsi="Times New Roman"/>
        </w:rPr>
        <w:t xml:space="preserve"> geral.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67.  Nas hipóteses de renúncia ou descredenciamento, ficará o administrador obrigado a convocar imediatamente a </w:t>
      </w:r>
      <w:proofErr w:type="spellStart"/>
      <w:r>
        <w:rPr>
          <w:rFonts w:ascii="Times New Roman" w:hAnsi="Times New Roman"/>
        </w:rPr>
        <w:t>assembléia</w:t>
      </w:r>
      <w:proofErr w:type="spellEnd"/>
      <w:r>
        <w:rPr>
          <w:rFonts w:ascii="Times New Roman" w:hAnsi="Times New Roman"/>
        </w:rPr>
        <w:t xml:space="preserve"> geral para eleger seu substituto, a se realizar no prazo de até 15 (quinze) dias, sendo também </w:t>
      </w:r>
      <w:proofErr w:type="gramStart"/>
      <w:r>
        <w:rPr>
          <w:rFonts w:ascii="Times New Roman" w:hAnsi="Times New Roman"/>
        </w:rPr>
        <w:t>facultado</w:t>
      </w:r>
      <w:proofErr w:type="gramEnd"/>
      <w:r>
        <w:rPr>
          <w:rFonts w:ascii="Times New Roman" w:hAnsi="Times New Roman"/>
        </w:rPr>
        <w:t xml:space="preserve"> aos cotistas que detenham ao menos 5% (cinco por cento) das cotas emitidas, em qualquer caso, ou à CVM, nos casos de descredenciamento, a convocação da </w:t>
      </w:r>
      <w:proofErr w:type="spellStart"/>
      <w:r>
        <w:rPr>
          <w:rFonts w:ascii="Times New Roman" w:hAnsi="Times New Roman"/>
        </w:rPr>
        <w:t>assembléia</w:t>
      </w:r>
      <w:proofErr w:type="spellEnd"/>
      <w:r>
        <w:rPr>
          <w:rFonts w:ascii="Times New Roman" w:hAnsi="Times New Roman"/>
        </w:rPr>
        <w:t xml:space="preserve"> geral.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 xml:space="preserve">No caso de renúncia, o administrador deverá permanecer no exercício de suas funções até sua efetiva substituição, que deverá ocorrer no prazo máximo de 30 (trinta) dias, sob pena de liquidação do fundo pelo administrador.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No caso de descredenciamento, a CVM deverá nomear administrador temporário até a eleição de nova administração.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VII</w:t>
      </w:r>
    </w:p>
    <w:p w:rsidR="00B2445D" w:rsidRDefault="00B2445D" w:rsidP="00B2445D">
      <w:pPr>
        <w:pStyle w:val="NormalWeb"/>
        <w:ind w:firstLine="567"/>
        <w:jc w:val="center"/>
        <w:rPr>
          <w:rFonts w:ascii="Times New Roman" w:hAnsi="Times New Roman"/>
          <w:b/>
        </w:rPr>
      </w:pPr>
      <w:r>
        <w:rPr>
          <w:rFonts w:ascii="Times New Roman" w:hAnsi="Times New Roman"/>
          <w:b/>
        </w:rPr>
        <w:lastRenderedPageBreak/>
        <w:t>DA DIVULGAÇÃO DE INFORMAÇÕES E DE RESULTADOS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Das Informações Periódicas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68.  O administrador do fundo está obrigado 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divulgar, diariamente, o valor da cota e do patrimônio líquido do fundo aberto;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remeter mensalmente aos </w:t>
      </w:r>
      <w:proofErr w:type="gramStart"/>
      <w:r>
        <w:rPr>
          <w:rFonts w:ascii="Times New Roman" w:hAnsi="Times New Roman"/>
        </w:rPr>
        <w:t>cotistas extrato</w:t>
      </w:r>
      <w:proofErr w:type="gramEnd"/>
      <w:r>
        <w:rPr>
          <w:rFonts w:ascii="Times New Roman" w:hAnsi="Times New Roman"/>
        </w:rPr>
        <w:t xml:space="preserve"> de conta contendo: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nome do fundo e o número de seu registro no CNPJ;</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b) nome, endereço e número de registro do administrador no CNPJ;</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c) nome do cotista;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d) saldo e valor das cotas no início e no final do período e a movimentação ocorrida ao longo do mesmo;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e) rentabilidade do fundo auferida entre o último dia útil do mês anterior e </w:t>
      </w:r>
      <w:proofErr w:type="gramStart"/>
      <w:r>
        <w:rPr>
          <w:rFonts w:ascii="Times New Roman" w:hAnsi="Times New Roman"/>
        </w:rPr>
        <w:t>o última</w:t>
      </w:r>
      <w:proofErr w:type="gramEnd"/>
      <w:r>
        <w:rPr>
          <w:rFonts w:ascii="Times New Roman" w:hAnsi="Times New Roman"/>
        </w:rPr>
        <w:t xml:space="preserve"> dia útil do mês de referência do extrato;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f) data de emissão do extrato da conta;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g) o telefone, o correio eletrônico e o endereço para correspondência do serviço mencionado no inciso XII do art. 65.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disponibilizar as informações do fundo, inclusive as relativas à composição da carteira, no mínimo nos termos do art. 71 no tocante a </w:t>
      </w:r>
      <w:proofErr w:type="spellStart"/>
      <w:r>
        <w:rPr>
          <w:rFonts w:ascii="Times New Roman" w:hAnsi="Times New Roman"/>
          <w:strike/>
        </w:rPr>
        <w:t>peridiocidade</w:t>
      </w:r>
      <w:proofErr w:type="spellEnd"/>
      <w:r>
        <w:rPr>
          <w:rFonts w:ascii="Times New Roman" w:hAnsi="Times New Roman"/>
          <w:strike/>
        </w:rPr>
        <w:t>, prazo e teor das informações, de forma equânime entre todos os cotistas.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disponibilizar as informações do fundo, inclusive as relativas à composição da carteira, no mínimo nos termos do art. 71 no tocante a </w:t>
      </w:r>
      <w:bookmarkStart w:id="105" w:name="_DV_C130"/>
      <w:r>
        <w:rPr>
          <w:rFonts w:ascii="Times New Roman" w:hAnsi="Times New Roman"/>
        </w:rPr>
        <w:t>periodicidade</w:t>
      </w:r>
      <w:bookmarkStart w:id="106" w:name="_DV_M482"/>
      <w:bookmarkEnd w:id="105"/>
      <w:bookmarkEnd w:id="106"/>
      <w:r>
        <w:rPr>
          <w:rFonts w:ascii="Times New Roman" w:hAnsi="Times New Roman"/>
        </w:rPr>
        <w:t>, prazo e teor das informações, de forma equânime entre todos os cotistas</w:t>
      </w:r>
      <w:bookmarkStart w:id="107" w:name="_DV_C131"/>
      <w:r>
        <w:rPr>
          <w:rFonts w:ascii="Times New Roman" w:hAnsi="Times New Roman"/>
        </w:rPr>
        <w:t>;</w:t>
      </w:r>
      <w:bookmarkEnd w:id="107"/>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8" w:name="_DV_C132"/>
      <w:r>
        <w:rPr>
          <w:rFonts w:ascii="Times New Roman" w:hAnsi="Times New Roman"/>
        </w:rPr>
        <w:t xml:space="preserve">IV – remeter aos cotistas dos fundos não destinados exclusivamente a investidores qualificados a demonstração de desempenho do fundo, até o último dia útil de fevereiro de cada ano; </w:t>
      </w:r>
      <w:proofErr w:type="gramStart"/>
      <w:r>
        <w:rPr>
          <w:rFonts w:ascii="Times New Roman" w:hAnsi="Times New Roman"/>
        </w:rPr>
        <w:t>e</w:t>
      </w:r>
      <w:bookmarkEnd w:id="108"/>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09" w:name="_DV_C133"/>
      <w:r>
        <w:rPr>
          <w:rFonts w:ascii="Times New Roman" w:hAnsi="Times New Roman"/>
        </w:rPr>
        <w:t xml:space="preserve">V – divulgar, em lugar de destaque na sua página na rede mundial de computadores e sem proteção de senha, o item </w:t>
      </w:r>
      <w:proofErr w:type="gramStart"/>
      <w:r>
        <w:rPr>
          <w:rFonts w:ascii="Times New Roman" w:hAnsi="Times New Roman"/>
        </w:rPr>
        <w:t>3</w:t>
      </w:r>
      <w:proofErr w:type="gramEnd"/>
      <w:r>
        <w:rPr>
          <w:rFonts w:ascii="Times New Roman" w:hAnsi="Times New Roman"/>
        </w:rPr>
        <w:t xml:space="preserve"> da demonstração de desempenho do fundo relativo:</w:t>
      </w:r>
      <w:bookmarkEnd w:id="109"/>
    </w:p>
    <w:p w:rsidR="00B2445D" w:rsidRDefault="00B2445D" w:rsidP="00B2445D">
      <w:pPr>
        <w:pStyle w:val="NormalWeb"/>
        <w:ind w:firstLine="567"/>
        <w:jc w:val="both"/>
        <w:rPr>
          <w:rFonts w:ascii="Times New Roman" w:hAnsi="Times New Roman"/>
        </w:rPr>
      </w:pPr>
      <w:bookmarkStart w:id="110" w:name="_DV_C134"/>
    </w:p>
    <w:p w:rsidR="00B2445D" w:rsidRDefault="00B2445D" w:rsidP="00B2445D">
      <w:pPr>
        <w:pStyle w:val="NormalWeb"/>
        <w:ind w:firstLine="567"/>
        <w:jc w:val="both"/>
        <w:rPr>
          <w:rFonts w:ascii="Times New Roman" w:hAnsi="Times New Roman"/>
        </w:rPr>
      </w:pPr>
      <w:bookmarkStart w:id="111" w:name="_DV_C135"/>
      <w:bookmarkEnd w:id="110"/>
      <w:r>
        <w:rPr>
          <w:rFonts w:ascii="Times New Roman" w:hAnsi="Times New Roman"/>
        </w:rPr>
        <w:t xml:space="preserve">a) aos 12 (doze) meses findos em 31 de dezembro, até o último dia útil de fevereiro de cada ano; </w:t>
      </w:r>
      <w:proofErr w:type="gramStart"/>
      <w:r>
        <w:rPr>
          <w:rFonts w:ascii="Times New Roman" w:hAnsi="Times New Roman"/>
        </w:rPr>
        <w:t>e</w:t>
      </w:r>
      <w:bookmarkEnd w:id="111"/>
      <w:proofErr w:type="gramEnd"/>
    </w:p>
    <w:p w:rsidR="00B2445D" w:rsidRDefault="00B2445D" w:rsidP="00B2445D">
      <w:pPr>
        <w:pStyle w:val="NormalWeb"/>
        <w:ind w:firstLine="567"/>
        <w:jc w:val="both"/>
        <w:rPr>
          <w:rFonts w:ascii="Times New Roman" w:hAnsi="Times New Roman"/>
        </w:rPr>
      </w:pPr>
      <w:bookmarkStart w:id="112" w:name="_DV_C136"/>
    </w:p>
    <w:p w:rsidR="00B2445D" w:rsidRDefault="00B2445D" w:rsidP="00B2445D">
      <w:pPr>
        <w:pStyle w:val="NormalWeb"/>
        <w:ind w:firstLine="567"/>
        <w:jc w:val="both"/>
        <w:rPr>
          <w:rFonts w:ascii="Times New Roman" w:hAnsi="Times New Roman"/>
        </w:rPr>
      </w:pPr>
      <w:bookmarkStart w:id="113" w:name="_DV_C137"/>
      <w:bookmarkEnd w:id="112"/>
      <w:r>
        <w:rPr>
          <w:rFonts w:ascii="Times New Roman" w:hAnsi="Times New Roman"/>
        </w:rPr>
        <w:lastRenderedPageBreak/>
        <w:t>b) aos 12 (doze) meses findos em 30 de junho, até o último dia útil de agosto de cada ano</w:t>
      </w:r>
      <w:bookmarkStart w:id="114" w:name="_DV_M483"/>
      <w:bookmarkEnd w:id="113"/>
      <w:bookmarkEnd w:id="114"/>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IV e V incluídos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Caso o fundo possua posições ou operações em curso que possam vir a ser prejudicadas pela sua divulgação, o demonstrativo da composição da carteira poderá omitir a identificação e quantidade das mesmas, registrando somente o valor e sua percentagem sobre o total da carteira.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As operações omitidas com base no parágrafo anterior deverão ser colocadas à disposição dos cotistas no prazo máximo de 90 (noventa) dias após o encerramento do mês.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As operações omitidas com base no parágrafo anterior deverão ser divulgadas na forma do inciso III do caput no prazo máximo 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30 (trinta) dias, improrrogáveis, nos fundos das classes “Curto Prazo” e “Referenciado”;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nos demais casos, 90 (noventa) dias após o encerramento do mês, podendo esse prazo ser prorrogado uma única vez, em caráter excepcional, e com base em solicitação fundamentada submetida à aprovação da CVM, até o prazo máximo de 180 (cento e oitenta dias).</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§2º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Caso o administrador divulgue a terceiros informações referentes à composição da carteira, a mesma informação deve ser colocada à disposição dos cotistas na mesma </w:t>
      </w:r>
      <w:r>
        <w:rPr>
          <w:rFonts w:ascii="Times New Roman" w:hAnsi="Times New Roman"/>
          <w:strike/>
        </w:rPr>
        <w:lastRenderedPageBreak/>
        <w:t>periodicidade, ressalvadas as hipóteses de divulgação de informações pelo administrador aos prestadores de serviços do fundo, necessárias para a execução de suas atividades, bem aos órgãos reguladores no atendimento a solicitações legais por eles formuladas.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Caso o administrador divulgue a terceiros informações referentes à composição da carteira, a mesma informação deve ser colocada à disposição dos cotistas na mesma periodicidade, ressalvadas as hipóteses de divulgação de informações pelo administrador aos prestadores de serviços do fundo, necessárias para a execução de suas atividades, bem como aos órgãos reguladores, </w:t>
      </w:r>
      <w:proofErr w:type="spellStart"/>
      <w:r>
        <w:rPr>
          <w:rFonts w:ascii="Times New Roman" w:hAnsi="Times New Roman"/>
        </w:rPr>
        <w:t>auto-reguladores</w:t>
      </w:r>
      <w:proofErr w:type="spellEnd"/>
      <w:r>
        <w:rPr>
          <w:rFonts w:ascii="Times New Roman" w:hAnsi="Times New Roman"/>
        </w:rPr>
        <w:t xml:space="preserve"> e entidades de classe, quanto aos seus associados, no atendimento a solicitações legais, regulamentares e estatutárias por eles formuladas.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2"/>
        </w:numPr>
        <w:ind w:left="0" w:firstLine="567"/>
        <w:jc w:val="both"/>
        <w:rPr>
          <w:rFonts w:ascii="Times New Roman" w:hAnsi="Times New Roman"/>
          <w:b/>
        </w:rPr>
      </w:pPr>
      <w:r>
        <w:rPr>
          <w:rFonts w:ascii="Times New Roman" w:hAnsi="Times New Roman"/>
          <w:b/>
        </w:rPr>
        <w:t>§3º</w:t>
      </w:r>
      <w:proofErr w:type="gramStart"/>
      <w:r>
        <w:rPr>
          <w:rFonts w:ascii="Times New Roman" w:hAnsi="Times New Roman"/>
          <w:b/>
        </w:rPr>
        <w:t xml:space="preserve">  </w:t>
      </w:r>
      <w:proofErr w:type="gramEnd"/>
      <w:r>
        <w:rPr>
          <w:rFonts w:ascii="Times New Roman" w:hAnsi="Times New Roman"/>
          <w:b/>
        </w:rPr>
        <w:t>com redação dada pela Instrução CVM nº 413, de 30 de dezembro de 2004.</w:t>
      </w:r>
    </w:p>
    <w:p w:rsidR="00B2445D" w:rsidRDefault="00B2445D" w:rsidP="00B2445D">
      <w:pPr>
        <w:pStyle w:val="NormalWeb"/>
        <w:jc w:val="both"/>
        <w:rPr>
          <w:rFonts w:ascii="Times New Roman" w:hAnsi="Times New Roman"/>
        </w:rPr>
      </w:pPr>
    </w:p>
    <w:p w:rsidR="00B2445D" w:rsidRDefault="00B2445D" w:rsidP="00B2445D">
      <w:pPr>
        <w:pStyle w:val="NormalWeb"/>
        <w:jc w:val="both"/>
        <w:rPr>
          <w:rFonts w:ascii="Times New Roman" w:hAnsi="Times New Roman"/>
        </w:rPr>
      </w:pP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15" w:name="_DV_C138"/>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A demonstração de desempenho prevista nos incisos IV e V deve:</w:t>
      </w:r>
      <w:bookmarkEnd w:id="115"/>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16" w:name="_DV_C139"/>
      <w:r>
        <w:rPr>
          <w:rFonts w:ascii="Times New Roman" w:hAnsi="Times New Roman"/>
        </w:rPr>
        <w:t xml:space="preserve">I – ser preparada para todos os fundos abertos em operação há, no mínimo, </w:t>
      </w:r>
      <w:proofErr w:type="gramStart"/>
      <w:r>
        <w:rPr>
          <w:rFonts w:ascii="Times New Roman" w:hAnsi="Times New Roman"/>
        </w:rPr>
        <w:t>1</w:t>
      </w:r>
      <w:proofErr w:type="gramEnd"/>
      <w:r>
        <w:rPr>
          <w:rFonts w:ascii="Times New Roman" w:hAnsi="Times New Roman"/>
        </w:rPr>
        <w:t xml:space="preserve"> (um) ano na data base a que se refere a demonstração de desempenho; e</w:t>
      </w:r>
      <w:bookmarkEnd w:id="116"/>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17" w:name="_DV_C140"/>
      <w:r>
        <w:rPr>
          <w:rFonts w:ascii="Times New Roman" w:hAnsi="Times New Roman"/>
        </w:rPr>
        <w:t>II – ser produzida conforme o modelo constante do Anexo IV.</w:t>
      </w:r>
      <w:bookmarkEnd w:id="117"/>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18" w:name="_DV_C141"/>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É facultado ao administrador do fundo formatar a demonstração de desempenho livremente desde que:</w:t>
      </w:r>
      <w:bookmarkEnd w:id="11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19" w:name="_DV_C142"/>
      <w:r>
        <w:rPr>
          <w:rFonts w:ascii="Times New Roman" w:hAnsi="Times New Roman"/>
        </w:rPr>
        <w:t>I – a ordem das informações seja mantida;</w:t>
      </w:r>
      <w:bookmarkEnd w:id="11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20" w:name="_DV_C143"/>
      <w:r>
        <w:rPr>
          <w:rFonts w:ascii="Times New Roman" w:hAnsi="Times New Roman"/>
        </w:rPr>
        <w:t>II – o conteúdo do Anexo IV não seja modificado;</w:t>
      </w:r>
      <w:bookmarkEnd w:id="12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21" w:name="_DV_C144"/>
      <w:r>
        <w:rPr>
          <w:rFonts w:ascii="Times New Roman" w:hAnsi="Times New Roman"/>
        </w:rPr>
        <w:t xml:space="preserve">III – os logotipos e formatação não dificultem o entendimento das informações; </w:t>
      </w:r>
      <w:proofErr w:type="gramStart"/>
      <w:r>
        <w:rPr>
          <w:rFonts w:ascii="Times New Roman" w:hAnsi="Times New Roman"/>
        </w:rPr>
        <w:t>e</w:t>
      </w:r>
      <w:bookmarkEnd w:id="121"/>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22" w:name="_DV_C145"/>
      <w:r>
        <w:rPr>
          <w:rFonts w:ascii="Times New Roman" w:hAnsi="Times New Roman"/>
        </w:rPr>
        <w:t>IV – quaisquer informações adicionais:</w:t>
      </w:r>
      <w:bookmarkEnd w:id="122"/>
    </w:p>
    <w:p w:rsidR="00B2445D" w:rsidRDefault="00B2445D" w:rsidP="00B2445D">
      <w:pPr>
        <w:pStyle w:val="NormalWeb"/>
        <w:ind w:firstLine="567"/>
        <w:jc w:val="both"/>
        <w:rPr>
          <w:rFonts w:ascii="Times New Roman" w:hAnsi="Times New Roman"/>
        </w:rPr>
      </w:pPr>
      <w:bookmarkStart w:id="123" w:name="_DV_C146"/>
    </w:p>
    <w:p w:rsidR="00B2445D" w:rsidRDefault="00B2445D" w:rsidP="00B2445D">
      <w:pPr>
        <w:pStyle w:val="NormalWeb"/>
        <w:ind w:firstLine="567"/>
        <w:jc w:val="both"/>
        <w:rPr>
          <w:rFonts w:ascii="Times New Roman" w:hAnsi="Times New Roman"/>
        </w:rPr>
      </w:pPr>
      <w:bookmarkStart w:id="124" w:name="_DV_C147"/>
      <w:bookmarkEnd w:id="123"/>
      <w:r>
        <w:rPr>
          <w:rFonts w:ascii="Times New Roman" w:hAnsi="Times New Roman"/>
        </w:rPr>
        <w:t>a) sejam acrescentadas ao final do documento;</w:t>
      </w:r>
      <w:bookmarkEnd w:id="124"/>
    </w:p>
    <w:p w:rsidR="00B2445D" w:rsidRDefault="00B2445D" w:rsidP="00B2445D">
      <w:pPr>
        <w:pStyle w:val="NormalWeb"/>
        <w:ind w:firstLine="567"/>
        <w:jc w:val="both"/>
        <w:rPr>
          <w:rFonts w:ascii="Times New Roman" w:hAnsi="Times New Roman"/>
        </w:rPr>
      </w:pPr>
      <w:bookmarkStart w:id="125" w:name="_DV_C148"/>
    </w:p>
    <w:p w:rsidR="00B2445D" w:rsidRDefault="00B2445D" w:rsidP="00B2445D">
      <w:pPr>
        <w:pStyle w:val="NormalWeb"/>
        <w:ind w:firstLine="567"/>
        <w:jc w:val="both"/>
        <w:rPr>
          <w:rFonts w:ascii="Times New Roman" w:hAnsi="Times New Roman"/>
        </w:rPr>
      </w:pPr>
      <w:bookmarkStart w:id="126" w:name="_DV_C149"/>
      <w:bookmarkEnd w:id="125"/>
      <w:r>
        <w:rPr>
          <w:rFonts w:ascii="Times New Roman" w:hAnsi="Times New Roman"/>
        </w:rPr>
        <w:t xml:space="preserve">b) não dificultem o entendimento das informações contidas na demonstração de desempenho; </w:t>
      </w:r>
      <w:proofErr w:type="gramStart"/>
      <w:r>
        <w:rPr>
          <w:rFonts w:ascii="Times New Roman" w:hAnsi="Times New Roman"/>
        </w:rPr>
        <w:t>e</w:t>
      </w:r>
      <w:bookmarkEnd w:id="126"/>
      <w:proofErr w:type="gramEnd"/>
    </w:p>
    <w:p w:rsidR="00B2445D" w:rsidRDefault="00B2445D" w:rsidP="00B2445D">
      <w:pPr>
        <w:pStyle w:val="NormalWeb"/>
        <w:ind w:firstLine="567"/>
        <w:jc w:val="both"/>
        <w:rPr>
          <w:rFonts w:ascii="Times New Roman" w:hAnsi="Times New Roman"/>
        </w:rPr>
      </w:pPr>
      <w:bookmarkStart w:id="127" w:name="_DV_C150"/>
    </w:p>
    <w:p w:rsidR="00B2445D" w:rsidRDefault="00B2445D" w:rsidP="00B2445D">
      <w:pPr>
        <w:pStyle w:val="NormalWeb"/>
        <w:ind w:firstLine="567"/>
        <w:jc w:val="both"/>
        <w:rPr>
          <w:rFonts w:ascii="Times New Roman" w:hAnsi="Times New Roman"/>
        </w:rPr>
      </w:pPr>
      <w:bookmarkStart w:id="128" w:name="_DV_C151"/>
      <w:bookmarkEnd w:id="127"/>
      <w:r>
        <w:rPr>
          <w:rFonts w:ascii="Times New Roman" w:hAnsi="Times New Roman"/>
        </w:rPr>
        <w:t xml:space="preserve">c) sejam consistentes com o conteúdo da demonstração de desempenho e do prospecto. </w:t>
      </w:r>
      <w:bookmarkEnd w:id="128"/>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29" w:name="_DV_C152"/>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Os fundos que realizem aplicações em outros fundos de investimento devem acrescentar às suas próprias despesas as despesas dos fundos investidos.</w:t>
      </w:r>
      <w:bookmarkEnd w:id="129"/>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30" w:name="_DV_C153"/>
      <w:r>
        <w:rPr>
          <w:rFonts w:ascii="Times New Roman" w:hAnsi="Times New Roman"/>
        </w:rPr>
        <w:t>§ 7º</w:t>
      </w:r>
      <w:proofErr w:type="gramStart"/>
      <w:r>
        <w:rPr>
          <w:rFonts w:ascii="Times New Roman" w:hAnsi="Times New Roman"/>
        </w:rPr>
        <w:t xml:space="preserve">  </w:t>
      </w:r>
      <w:proofErr w:type="gramEnd"/>
      <w:r>
        <w:rPr>
          <w:rFonts w:ascii="Times New Roman" w:hAnsi="Times New Roman"/>
        </w:rPr>
        <w:t>Para os efeitos do § 6º, os fundos:</w:t>
      </w:r>
      <w:bookmarkEnd w:id="130"/>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31" w:name="_DV_C154"/>
      <w:r>
        <w:rPr>
          <w:rFonts w:ascii="Times New Roman" w:hAnsi="Times New Roman"/>
        </w:rPr>
        <w:t xml:space="preserve">I – devem considerar o valor das últimas despesas divulgadas pelo fundo investido conforme inciso V do caput proporcionalmente aos montantes investidos e prazos de aplicação; </w:t>
      </w:r>
      <w:proofErr w:type="gramStart"/>
      <w:r>
        <w:rPr>
          <w:rFonts w:ascii="Times New Roman" w:hAnsi="Times New Roman"/>
        </w:rPr>
        <w:t>e</w:t>
      </w:r>
      <w:bookmarkEnd w:id="131"/>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32" w:name="_DV_C155"/>
      <w:r>
        <w:rPr>
          <w:rFonts w:ascii="Times New Roman" w:hAnsi="Times New Roman"/>
        </w:rPr>
        <w:lastRenderedPageBreak/>
        <w:t>II – estão dispensados de consolidar as despesas dos fundos investidos quando estes não estiverem obrigados a divulgá-las em relação ao semestre anterior à data base da demonstração de desempenho.</w:t>
      </w:r>
      <w:bookmarkEnd w:id="132"/>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33" w:name="_DV_C156"/>
      <w:r>
        <w:rPr>
          <w:rFonts w:ascii="Times New Roman" w:hAnsi="Times New Roman"/>
        </w:rPr>
        <w:t>§ 8º</w:t>
      </w:r>
      <w:proofErr w:type="gramStart"/>
      <w:r>
        <w:rPr>
          <w:rFonts w:ascii="Times New Roman" w:hAnsi="Times New Roman"/>
        </w:rPr>
        <w:t xml:space="preserve">  </w:t>
      </w:r>
      <w:proofErr w:type="gramEnd"/>
      <w:r>
        <w:rPr>
          <w:rFonts w:ascii="Times New Roman" w:hAnsi="Times New Roman"/>
        </w:rPr>
        <w:t>Caso ocorram divergências relevantes entre os valores apresentados na demonstração de desempenho e aqueles que teriam sido calculados para o mesmo período com base nas demonstrações contábeis auditadas, o administrador deve enviar uma demonstração retificadora aos cotistas em até 15 dias úteis da remessa do parecer dos auditores independentes para a CVM, sem prejuízo da divulgação de fato relevante nos termos do art. 72.</w:t>
      </w:r>
      <w:bookmarkEnd w:id="133"/>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 4º ao 8º incluídos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69.  O administrador não está obrigado a cumprir o disposto no inciso II do artigo anterior nos casos em que o cotista, através de assinatura em documento específico, expressamente optar pelo não recebimento do extrato.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administrador deverá manter o documento previsto neste artigo à disposição da CVM, pelo prazo de </w:t>
      </w:r>
      <w:proofErr w:type="gramStart"/>
      <w:r>
        <w:rPr>
          <w:rFonts w:ascii="Times New Roman" w:hAnsi="Times New Roman"/>
        </w:rPr>
        <w:t>5</w:t>
      </w:r>
      <w:proofErr w:type="gramEnd"/>
      <w:r>
        <w:rPr>
          <w:rFonts w:ascii="Times New Roman" w:hAnsi="Times New Roman"/>
        </w:rPr>
        <w:t xml:space="preserve"> (cinco) anos.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70.  Caso o cotista não tenha comunicado ao administrador do fundo a atualização de seu endereço, seja para envio de correspondência por carta ou através de meio eletrônico, o administrador ficará exonerado do dever de prestar-lhe as informações previstas nesta Instrução a partir da última correspondência que houver sido devolvida por incorreção no endereço declarado.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administrador deverá manter a correspondência devolvida à disposição da fiscalização da CVM, enquanto o cotista não proceder ao resgate total de suas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Art. 71.  O administrador deve remeter, através do Sistema de Envio de Documentos disponível na página da CVM na rede mundial de computadores, os seguintes documentos, conforme modelos disponíveis na referida página: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informe diário, no prazo de </w:t>
      </w:r>
      <w:proofErr w:type="gramStart"/>
      <w:r>
        <w:rPr>
          <w:rFonts w:ascii="Times New Roman" w:hAnsi="Times New Roman"/>
          <w:strike/>
        </w:rPr>
        <w:t>2</w:t>
      </w:r>
      <w:proofErr w:type="gramEnd"/>
      <w:r>
        <w:rPr>
          <w:rFonts w:ascii="Times New Roman" w:hAnsi="Times New Roman"/>
          <w:strike/>
        </w:rPr>
        <w:t xml:space="preserve"> (dois) dias úteis; </w:t>
      </w:r>
    </w:p>
    <w:p w:rsidR="00B2445D" w:rsidRDefault="00B2445D" w:rsidP="00B2445D">
      <w:pPr>
        <w:pStyle w:val="NormalWeb"/>
        <w:ind w:firstLine="567"/>
        <w:jc w:val="both"/>
        <w:rPr>
          <w:rFonts w:ascii="Times New Roman" w:hAnsi="Times New Roman"/>
        </w:rPr>
      </w:pPr>
    </w:p>
    <w:p w:rsidR="00B2445D" w:rsidRDefault="00B2445D" w:rsidP="00B2445D">
      <w:pPr>
        <w:pStyle w:val="Title"/>
        <w:spacing w:line="312" w:lineRule="auto"/>
        <w:ind w:left="567"/>
        <w:jc w:val="both"/>
        <w:rPr>
          <w:b w:val="0"/>
          <w:szCs w:val="20"/>
        </w:rPr>
      </w:pPr>
      <w:r>
        <w:rPr>
          <w:b w:val="0"/>
          <w:szCs w:val="20"/>
        </w:rPr>
        <w:t xml:space="preserve">I – informe diário, no prazo de </w:t>
      </w:r>
      <w:proofErr w:type="gramStart"/>
      <w:r>
        <w:rPr>
          <w:b w:val="0"/>
          <w:szCs w:val="20"/>
        </w:rPr>
        <w:t>1</w:t>
      </w:r>
      <w:proofErr w:type="gramEnd"/>
      <w:r>
        <w:rPr>
          <w:b w:val="0"/>
          <w:szCs w:val="20"/>
        </w:rPr>
        <w:t xml:space="preserve"> (um) dia útil;</w:t>
      </w:r>
    </w:p>
    <w:p w:rsidR="00B2445D" w:rsidRDefault="00B2445D" w:rsidP="00B2445D">
      <w:pPr>
        <w:pStyle w:val="NormalWeb"/>
        <w:ind w:left="567"/>
        <w:jc w:val="both"/>
        <w:rPr>
          <w:rFonts w:ascii="Times New Roman" w:hAnsi="Times New Roman"/>
          <w:b/>
          <w:strike/>
        </w:rPr>
      </w:pPr>
    </w:p>
    <w:p w:rsidR="00B2445D" w:rsidRDefault="00B2445D" w:rsidP="00B2445D">
      <w:pPr>
        <w:pStyle w:val="BodyTextIndent"/>
        <w:numPr>
          <w:ilvl w:val="0"/>
          <w:numId w:val="14"/>
        </w:numPr>
        <w:ind w:hanging="153"/>
        <w:rPr>
          <w:b/>
        </w:rPr>
      </w:pPr>
      <w:r>
        <w:rPr>
          <w:b/>
        </w:rPr>
        <w:t>Inciso I com redação dada pela Instrução CVM nº 512, de 20 de dezembro de 2011.</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mensalmente, até 10 (dez) dias após o encerramento do mês a que se referirem: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 balancete;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b) demonstrativo da composição e diversificação de carteira;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c) perfil mensal.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anualmente, no prazo de 90 (noventa) dias, contados a partir do encerramento do exercício a que se </w:t>
      </w:r>
      <w:proofErr w:type="gramStart"/>
      <w:r>
        <w:rPr>
          <w:rFonts w:ascii="Times New Roman" w:hAnsi="Times New Roman"/>
        </w:rPr>
        <w:t>referirem,</w:t>
      </w:r>
      <w:proofErr w:type="gramEnd"/>
      <w:r>
        <w:rPr>
          <w:rFonts w:ascii="Times New Roman" w:hAnsi="Times New Roman"/>
        </w:rPr>
        <w:t xml:space="preserve"> as demonstrações contábeis acompanhadas do parecer do auditor independente.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IV – formulário padronizado com as informações básicas do fundo, sempre que houver alteração do regulamento, no prazo de 15 (quinze) dias, contados da </w:t>
      </w:r>
      <w:proofErr w:type="spellStart"/>
      <w:r>
        <w:rPr>
          <w:rFonts w:ascii="Times New Roman" w:hAnsi="Times New Roman"/>
          <w:strike/>
        </w:rPr>
        <w:t>assembléia</w:t>
      </w:r>
      <w:proofErr w:type="spellEnd"/>
      <w:r>
        <w:rPr>
          <w:rFonts w:ascii="Times New Roman" w:hAnsi="Times New Roman"/>
          <w:strike/>
        </w:rPr>
        <w:t xml:space="preserve"> que deliberar a alteração.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formulário padronizado com as informações básicas do fundo, denominado “Extrato de Informações sobre o Fundo”, sempre que houver alteração do regulamento, na data do início da vigência das alterações deliberadas em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ind w:left="567"/>
        <w:jc w:val="both"/>
        <w:rPr>
          <w:rFonts w:ascii="Times New Roman" w:hAnsi="Times New Roman"/>
        </w:rPr>
      </w:pPr>
    </w:p>
    <w:p w:rsidR="00B2445D" w:rsidRDefault="00B2445D" w:rsidP="00B2445D">
      <w:pPr>
        <w:pStyle w:val="NormalWeb"/>
        <w:numPr>
          <w:ilvl w:val="0"/>
          <w:numId w:val="12"/>
        </w:numPr>
        <w:ind w:left="0" w:firstLine="567"/>
        <w:jc w:val="both"/>
        <w:rPr>
          <w:rFonts w:ascii="Times New Roman" w:hAnsi="Times New Roman"/>
          <w:b/>
        </w:rPr>
      </w:pPr>
      <w:r>
        <w:rPr>
          <w:rFonts w:ascii="Times New Roman" w:hAnsi="Times New Roman"/>
          <w:b/>
        </w:rPr>
        <w:t xml:space="preserve">Inciso IV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O prazo de retificação das informações é de 3 (três) dias úteis, contados do fim do prazo estabelecido para a apresentação dos documentos.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Quando o fundo adotar a política de exercício de direito de voto em </w:t>
      </w:r>
      <w:proofErr w:type="spellStart"/>
      <w:r>
        <w:rPr>
          <w:rFonts w:ascii="Times New Roman" w:hAnsi="Times New Roman"/>
          <w:strike/>
        </w:rPr>
        <w:t>assembléias</w:t>
      </w:r>
      <w:proofErr w:type="spellEnd"/>
      <w:r>
        <w:rPr>
          <w:rFonts w:ascii="Times New Roman" w:hAnsi="Times New Roman"/>
          <w:strike/>
        </w:rPr>
        <w:t xml:space="preserve"> gerais de companhias nas quais ele detenha participação, o perfil mensal deverá necessariamente incluir:</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 o resumo do teor dos votos proferidos pelo administrador ou por seus representantes legalmente constituídos, nas </w:t>
      </w:r>
      <w:proofErr w:type="spellStart"/>
      <w:r>
        <w:rPr>
          <w:rFonts w:ascii="Times New Roman" w:hAnsi="Times New Roman"/>
          <w:strike/>
        </w:rPr>
        <w:t>assembléias</w:t>
      </w:r>
      <w:proofErr w:type="spellEnd"/>
      <w:r>
        <w:rPr>
          <w:rFonts w:ascii="Times New Roman" w:hAnsi="Times New Roman"/>
          <w:strike/>
        </w:rPr>
        <w:t xml:space="preserve"> gerais e especiais das companhias nas quais o fundo detenha participação, que tenham sido realizadas no exercício; </w:t>
      </w:r>
      <w:proofErr w:type="gramStart"/>
      <w:r>
        <w:rPr>
          <w:rFonts w:ascii="Times New Roman" w:hAnsi="Times New Roman"/>
          <w:strike/>
        </w:rPr>
        <w:t>e</w:t>
      </w:r>
      <w:proofErr w:type="gramEnd"/>
      <w:r>
        <w:rPr>
          <w:rFonts w:ascii="Times New Roman" w:hAnsi="Times New Roman"/>
          <w:strike/>
        </w:rPr>
        <w:t xml:space="preserve">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b) justificativa sumária do voto proferido pelo administrador ou por seus representantes legalmente constituídos, ou as razões sumárias para a sua abstenção ou não comparecimento à </w:t>
      </w:r>
      <w:proofErr w:type="spellStart"/>
      <w:r>
        <w:rPr>
          <w:rFonts w:ascii="Times New Roman" w:hAnsi="Times New Roman"/>
          <w:strike/>
        </w:rPr>
        <w:t>assembléia</w:t>
      </w:r>
      <w:proofErr w:type="spellEnd"/>
      <w:r>
        <w:rPr>
          <w:rFonts w:ascii="Times New Roman" w:hAnsi="Times New Roman"/>
          <w:strike/>
        </w:rPr>
        <w:t xml:space="preserve"> geral.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40"/>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Quando o fundo adotar política </w:t>
      </w:r>
      <w:bookmarkStart w:id="134" w:name="_DV_C159"/>
      <w:r>
        <w:rPr>
          <w:rFonts w:ascii="Times New Roman" w:hAnsi="Times New Roman"/>
        </w:rPr>
        <w:t>que preveja o</w:t>
      </w:r>
      <w:bookmarkStart w:id="135" w:name="_DV_M504"/>
      <w:bookmarkEnd w:id="134"/>
      <w:bookmarkEnd w:id="135"/>
      <w:r>
        <w:rPr>
          <w:rFonts w:ascii="Times New Roman" w:hAnsi="Times New Roman"/>
        </w:rPr>
        <w:t xml:space="preserve"> exercício de direito de voto </w:t>
      </w:r>
      <w:bookmarkStart w:id="136" w:name="_DV_C161"/>
      <w:r>
        <w:rPr>
          <w:rFonts w:ascii="Times New Roman" w:hAnsi="Times New Roman"/>
        </w:rPr>
        <w:t>decorrente dos ativos financeiros detidos pelo fundo</w:t>
      </w:r>
      <w:bookmarkStart w:id="137" w:name="_DV_M505"/>
      <w:bookmarkEnd w:id="136"/>
      <w:bookmarkEnd w:id="137"/>
      <w:r>
        <w:rPr>
          <w:rFonts w:ascii="Times New Roman" w:hAnsi="Times New Roman"/>
        </w:rPr>
        <w:t xml:space="preserve">, o perfil mensal </w:t>
      </w:r>
      <w:bookmarkStart w:id="138" w:name="_DV_C163"/>
      <w:r>
        <w:rPr>
          <w:rFonts w:ascii="Times New Roman" w:hAnsi="Times New Roman"/>
        </w:rPr>
        <w:t>deve</w:t>
      </w:r>
      <w:bookmarkStart w:id="139" w:name="_DV_M506"/>
      <w:bookmarkEnd w:id="138"/>
      <w:bookmarkEnd w:id="139"/>
      <w:r>
        <w:rPr>
          <w:rFonts w:ascii="Times New Roman" w:hAnsi="Times New Roman"/>
        </w:rPr>
        <w:t xml:space="preserve"> incluir:</w:t>
      </w:r>
    </w:p>
    <w:p w:rsidR="00B2445D" w:rsidRDefault="00B2445D" w:rsidP="00B2445D">
      <w:pPr>
        <w:pStyle w:val="NormalWeb"/>
        <w:ind w:firstLine="540"/>
        <w:jc w:val="both"/>
        <w:rPr>
          <w:rFonts w:ascii="Times New Roman" w:hAnsi="Times New Roman"/>
        </w:rPr>
      </w:pPr>
    </w:p>
    <w:p w:rsidR="00B2445D" w:rsidRDefault="00B2445D" w:rsidP="00B2445D">
      <w:pPr>
        <w:pStyle w:val="NormalWeb"/>
        <w:ind w:firstLine="540"/>
        <w:jc w:val="both"/>
        <w:rPr>
          <w:rFonts w:ascii="Times New Roman" w:hAnsi="Times New Roman"/>
        </w:rPr>
      </w:pPr>
      <w:bookmarkStart w:id="140" w:name="_DV_M507"/>
      <w:bookmarkEnd w:id="140"/>
      <w:r>
        <w:rPr>
          <w:rFonts w:ascii="Times New Roman" w:hAnsi="Times New Roman"/>
        </w:rPr>
        <w:t xml:space="preserve">a) o resumo do teor dos votos proferidos </w:t>
      </w:r>
      <w:bookmarkStart w:id="141" w:name="_DV_C165"/>
      <w:r>
        <w:rPr>
          <w:rFonts w:ascii="Times New Roman" w:hAnsi="Times New Roman"/>
        </w:rPr>
        <w:t>no período a que se refere o perfil</w:t>
      </w:r>
      <w:bookmarkStart w:id="142" w:name="_DV_M508"/>
      <w:bookmarkEnd w:id="141"/>
      <w:bookmarkEnd w:id="142"/>
      <w:r>
        <w:rPr>
          <w:rFonts w:ascii="Times New Roman" w:hAnsi="Times New Roman"/>
        </w:rPr>
        <w:t xml:space="preserve">;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40"/>
        <w:jc w:val="both"/>
        <w:rPr>
          <w:rFonts w:ascii="Times New Roman" w:hAnsi="Times New Roman"/>
        </w:rPr>
      </w:pPr>
    </w:p>
    <w:p w:rsidR="00B2445D" w:rsidRDefault="00B2445D" w:rsidP="00B2445D">
      <w:pPr>
        <w:pStyle w:val="NormalWeb"/>
        <w:ind w:firstLine="540"/>
        <w:jc w:val="both"/>
        <w:rPr>
          <w:rFonts w:ascii="Times New Roman" w:hAnsi="Times New Roman"/>
        </w:rPr>
      </w:pPr>
      <w:bookmarkStart w:id="143" w:name="_DV_M509"/>
      <w:bookmarkEnd w:id="143"/>
      <w:r>
        <w:rPr>
          <w:rFonts w:ascii="Times New Roman" w:hAnsi="Times New Roman"/>
        </w:rPr>
        <w:t xml:space="preserve">b) justificativa sumária do voto proferido ou as razões sumárias para </w:t>
      </w:r>
      <w:bookmarkStart w:id="144" w:name="_DV_C168"/>
      <w:r>
        <w:rPr>
          <w:rFonts w:ascii="Times New Roman" w:hAnsi="Times New Roman"/>
        </w:rPr>
        <w:t>eventual</w:t>
      </w:r>
      <w:bookmarkStart w:id="145" w:name="_DV_M511"/>
      <w:bookmarkEnd w:id="144"/>
      <w:bookmarkEnd w:id="145"/>
      <w:r>
        <w:rPr>
          <w:rFonts w:ascii="Times New Roman" w:hAnsi="Times New Roman"/>
        </w:rPr>
        <w:t xml:space="preserve"> abstenção ou não </w:t>
      </w:r>
      <w:bookmarkStart w:id="146" w:name="_DV_C170"/>
      <w:r>
        <w:rPr>
          <w:rFonts w:ascii="Times New Roman" w:hAnsi="Times New Roman"/>
        </w:rPr>
        <w:t>exercício do direito de voto</w:t>
      </w:r>
      <w:bookmarkStart w:id="147" w:name="_DV_M512"/>
      <w:bookmarkEnd w:id="146"/>
      <w:bookmarkEnd w:id="147"/>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 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Das Informações Eventuais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72.  O administrador é obrigado a divulgar imediatamente, através de correspondência a todos os cotistas, qualquer ato ou fato relevante, de modo a garantir a todos os cotistas o acesso a informações que possam, direta ou indiretamente, influenciar suas decisões quanto à permanência no fundo ou, no caso de outros investidores, quanto à aquisição das cotas.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O fato relevante deverá ser imediatamente comunicado através do Sistema de Envio de Documentos disponível na página da CVM na rede mundial de computadores, sendo a informação divulgada no endereço da CVM naquela rede.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1º</w:t>
      </w:r>
      <w:proofErr w:type="gramStart"/>
      <w:r>
        <w:rPr>
          <w:rFonts w:ascii="Times New Roman" w:hAnsi="Times New Roman"/>
          <w:strike/>
        </w:rPr>
        <w:t xml:space="preserve">  </w:t>
      </w:r>
      <w:proofErr w:type="gramEnd"/>
      <w:r>
        <w:rPr>
          <w:rFonts w:ascii="Times New Roman" w:hAnsi="Times New Roman"/>
          <w:strike/>
        </w:rPr>
        <w:t>O fato relevante deverá ser imediatamente comunicado através do Sistema de Envio de Documentos disponível na página da CVM na rede mundial de computadores, sendo a informação divulgada no endereço da CVM naquela rede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2º</w:t>
      </w:r>
      <w:proofErr w:type="gramStart"/>
      <w:r>
        <w:rPr>
          <w:rFonts w:ascii="Times New Roman" w:hAnsi="Times New Roman"/>
          <w:strike/>
        </w:rPr>
        <w:t xml:space="preserve">  </w:t>
      </w:r>
      <w:proofErr w:type="gramEnd"/>
      <w:r>
        <w:rPr>
          <w:rFonts w:ascii="Times New Roman" w:hAnsi="Times New Roman"/>
          <w:strike/>
        </w:rPr>
        <w:t xml:space="preserve">São exemplos de fatos relevantes, sem exclusão de outros, quaisquer modificações relativas às matérias de que tratam os </w:t>
      </w:r>
      <w:proofErr w:type="spellStart"/>
      <w:r>
        <w:rPr>
          <w:rFonts w:ascii="Times New Roman" w:hAnsi="Times New Roman"/>
          <w:strike/>
        </w:rPr>
        <w:t>arts</w:t>
      </w:r>
      <w:proofErr w:type="spellEnd"/>
      <w:r>
        <w:rPr>
          <w:rFonts w:ascii="Times New Roman" w:hAnsi="Times New Roman"/>
          <w:strike/>
        </w:rPr>
        <w:t>. 40 e 41 desta Instrução.</w:t>
      </w:r>
    </w:p>
    <w:p w:rsidR="00B2445D" w:rsidRDefault="00B2445D" w:rsidP="00B2445D">
      <w:pPr>
        <w:pStyle w:val="NormalWeb"/>
        <w:numPr>
          <w:ilvl w:val="0"/>
          <w:numId w:val="12"/>
        </w:numPr>
        <w:ind w:left="0" w:firstLine="567"/>
        <w:jc w:val="both"/>
        <w:rPr>
          <w:rFonts w:ascii="Times New Roman" w:hAnsi="Times New Roman"/>
          <w:b/>
        </w:rPr>
      </w:pPr>
      <w:r>
        <w:rPr>
          <w:rFonts w:ascii="Times New Roman" w:hAnsi="Times New Roman"/>
          <w:b/>
          <w:strike/>
        </w:rPr>
        <w:lastRenderedPageBreak/>
        <w:t>§§1º e 2º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BodyTextIndent2"/>
        <w:tabs>
          <w:tab w:val="left" w:leader="dot" w:pos="5103"/>
        </w:tabs>
        <w:ind w:firstLine="540"/>
        <w:rPr>
          <w:strike/>
        </w:rPr>
      </w:pPr>
      <w:r>
        <w:rPr>
          <w:strike/>
        </w:rPr>
        <w:t>Art. 72.  O administrador é obrigado a divulgar imediatamente, através de correspondência a todos os cotistas e de comunicado através do Sistema de Envio de Documentos disponível na página da CVM, qualquer ato ou fato relevante ocorrido ou relacionado ao funcionamento do fundo ou aos ativos integrantes de sua carteira.</w:t>
      </w:r>
    </w:p>
    <w:p w:rsidR="00B2445D" w:rsidRDefault="00B2445D" w:rsidP="00B2445D">
      <w:pPr>
        <w:pStyle w:val="BodyTextIndent2"/>
        <w:tabs>
          <w:tab w:val="left" w:leader="dot" w:pos="5103"/>
        </w:tabs>
        <w:ind w:firstLine="540"/>
        <w:rPr>
          <w:strike/>
        </w:rPr>
      </w:pPr>
    </w:p>
    <w:p w:rsidR="00B2445D" w:rsidRDefault="00B2445D" w:rsidP="00B2445D">
      <w:pPr>
        <w:pStyle w:val="NormalWeb"/>
        <w:ind w:firstLine="540"/>
        <w:jc w:val="both"/>
        <w:rPr>
          <w:rFonts w:ascii="Times New Roman" w:hAnsi="Times New Roman"/>
        </w:rPr>
      </w:pPr>
      <w:r>
        <w:rPr>
          <w:rFonts w:ascii="Times New Roman" w:hAnsi="Times New Roman"/>
        </w:rPr>
        <w:t xml:space="preserve">Art. 72.  O administrador é obrigado a divulgar imediatamente, por correspondência a todos os cotistas e de comunicado pelo Sistema de Envio de Documentos disponível na página da CVM, qualquer ato ou fato relevante ocorrido ou relacionado ao funcionamento do fundo ou aos ativos financeiros integrantes de sua carteira. </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Caput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BodyTextIndent2"/>
        <w:tabs>
          <w:tab w:val="left" w:leader="dot" w:pos="5103"/>
        </w:tabs>
        <w:ind w:firstLine="540"/>
      </w:pPr>
    </w:p>
    <w:p w:rsidR="00B2445D" w:rsidRDefault="00B2445D" w:rsidP="00B2445D">
      <w:pPr>
        <w:pStyle w:val="NormalWeb"/>
        <w:ind w:firstLine="540"/>
        <w:jc w:val="both"/>
        <w:rPr>
          <w:rFonts w:ascii="Times New Roman" w:hAnsi="Times New Roman"/>
        </w:rPr>
      </w:pPr>
      <w:r>
        <w:rPr>
          <w:rFonts w:ascii="Times New Roman" w:hAnsi="Times New Roman"/>
        </w:rPr>
        <w:t>Parágrafo único.  Considera-se relevante qualquer ato ou fato que possa influir de modo ponderável no valor das cotas ou na decisão dos investidores de adquirir, alienar ou manter tais cotas.</w:t>
      </w:r>
    </w:p>
    <w:p w:rsidR="00B2445D" w:rsidRDefault="00B2445D" w:rsidP="00B2445D">
      <w:pPr>
        <w:pStyle w:val="BodyTextIndent2"/>
        <w:tabs>
          <w:tab w:val="left" w:leader="dot" w:pos="5103"/>
        </w:tabs>
        <w:ind w:firstLine="540"/>
      </w:pPr>
    </w:p>
    <w:p w:rsidR="00B2445D" w:rsidRDefault="00B2445D" w:rsidP="00B2445D">
      <w:pPr>
        <w:pStyle w:val="NormalWeb"/>
        <w:numPr>
          <w:ilvl w:val="0"/>
          <w:numId w:val="5"/>
        </w:numPr>
        <w:ind w:left="0" w:firstLine="567"/>
        <w:jc w:val="both"/>
        <w:rPr>
          <w:rFonts w:ascii="Times New Roman" w:hAnsi="Times New Roman"/>
          <w:b/>
        </w:rPr>
      </w:pPr>
      <w:r>
        <w:rPr>
          <w:rFonts w:ascii="Times New Roman" w:hAnsi="Times New Roman"/>
          <w:b/>
        </w:rPr>
        <w:t xml:space="preserve">Artigo com redação dada pela Instrução CVM nº 456, de 22 de junho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strike/>
        </w:rPr>
      </w:pPr>
      <w:r>
        <w:rPr>
          <w:rFonts w:ascii="Times New Roman" w:hAnsi="Times New Roman"/>
          <w:strike/>
        </w:rPr>
        <w:t>Seção III</w:t>
      </w:r>
    </w:p>
    <w:p w:rsidR="00B2445D" w:rsidRDefault="00B2445D" w:rsidP="00B2445D">
      <w:pPr>
        <w:pStyle w:val="NormalWeb"/>
        <w:ind w:firstLine="567"/>
        <w:jc w:val="center"/>
        <w:rPr>
          <w:rFonts w:ascii="Times New Roman" w:hAnsi="Times New Roman"/>
          <w:strike/>
        </w:rPr>
      </w:pPr>
      <w:r>
        <w:rPr>
          <w:rFonts w:ascii="Times New Roman" w:hAnsi="Times New Roman"/>
          <w:strike/>
        </w:rPr>
        <w:t>Das Informações de Venda e Distribuição</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bookmarkStart w:id="148" w:name="_DV_C172"/>
      <w:r>
        <w:rPr>
          <w:rFonts w:ascii="Times New Roman" w:hAnsi="Times New Roman"/>
        </w:rPr>
        <w:t>Material de Divulgação</w:t>
      </w:r>
      <w:bookmarkEnd w:id="148"/>
    </w:p>
    <w:p w:rsidR="00B2445D" w:rsidRDefault="00B2445D" w:rsidP="00B2445D">
      <w:pPr>
        <w:pStyle w:val="NormalWeb"/>
        <w:ind w:firstLine="540"/>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Seção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73.  O material de divulgação do fundo, assim como as informações a ele referentes, não </w:t>
      </w:r>
      <w:proofErr w:type="gramStart"/>
      <w:r>
        <w:rPr>
          <w:rFonts w:ascii="Times New Roman" w:hAnsi="Times New Roman"/>
          <w:strike/>
        </w:rPr>
        <w:t>podem estar</w:t>
      </w:r>
      <w:proofErr w:type="gramEnd"/>
      <w:r>
        <w:rPr>
          <w:rFonts w:ascii="Times New Roman" w:hAnsi="Times New Roman"/>
          <w:strike/>
        </w:rPr>
        <w:t xml:space="preserve"> em desacordo com o prospecto, o regulamento, ou com os demais documentos protocolados na CVM.</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Caso o texto publicitário apresente incorreções ou impropriedades que possam induzir o investidor a erros de avaliação, a CVM pode exigir que as retificações e os esclarecimentos </w:t>
      </w:r>
      <w:proofErr w:type="gramStart"/>
      <w:r>
        <w:rPr>
          <w:rFonts w:ascii="Times New Roman" w:hAnsi="Times New Roman"/>
          <w:strike/>
        </w:rPr>
        <w:t>sejam</w:t>
      </w:r>
      <w:proofErr w:type="gramEnd"/>
      <w:r>
        <w:rPr>
          <w:rFonts w:ascii="Times New Roman" w:hAnsi="Times New Roman"/>
          <w:strike/>
        </w:rPr>
        <w:t xml:space="preserve"> veiculados, com igual destaque, através do veículo usado para divulgar o texto publicitário original, devendo constar, de forma expressa, que a informação está sendo republicada por determinação da CVM.</w:t>
      </w:r>
    </w:p>
    <w:p w:rsidR="00B2445D" w:rsidRDefault="00B2445D" w:rsidP="00B2445D">
      <w:pPr>
        <w:pStyle w:val="NormalWeb"/>
        <w:ind w:firstLine="567"/>
        <w:jc w:val="center"/>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73.  </w:t>
      </w:r>
      <w:bookmarkStart w:id="149" w:name="_DV_C174"/>
      <w:r>
        <w:rPr>
          <w:rFonts w:ascii="Times New Roman" w:hAnsi="Times New Roman"/>
        </w:rPr>
        <w:t>Qualquer</w:t>
      </w:r>
      <w:bookmarkStart w:id="150" w:name="_DV_M519"/>
      <w:bookmarkEnd w:id="149"/>
      <w:bookmarkEnd w:id="150"/>
      <w:r>
        <w:rPr>
          <w:rFonts w:ascii="Times New Roman" w:hAnsi="Times New Roman"/>
        </w:rPr>
        <w:t xml:space="preserve"> material de divulgação do fundo</w:t>
      </w:r>
      <w:bookmarkStart w:id="151" w:name="_DV_C176"/>
      <w:r>
        <w:rPr>
          <w:rFonts w:ascii="Times New Roman" w:hAnsi="Times New Roman"/>
        </w:rPr>
        <w:t xml:space="preserve"> deve:</w:t>
      </w:r>
      <w:bookmarkEnd w:id="151"/>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2" w:name="_DV_C177"/>
      <w:r>
        <w:rPr>
          <w:rFonts w:ascii="Times New Roman" w:hAnsi="Times New Roman"/>
        </w:rPr>
        <w:t>I – ser consistente com o prospecto, quando houver, e o regulamento;</w:t>
      </w:r>
      <w:bookmarkEnd w:id="152"/>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3" w:name="_DV_C178"/>
      <w:r>
        <w:rPr>
          <w:rFonts w:ascii="Times New Roman" w:hAnsi="Times New Roman"/>
        </w:rPr>
        <w:t xml:space="preserve">II – ser </w:t>
      </w:r>
      <w:proofErr w:type="gramStart"/>
      <w:r>
        <w:rPr>
          <w:rFonts w:ascii="Times New Roman" w:hAnsi="Times New Roman"/>
        </w:rPr>
        <w:t>elaborado em linguagem serena e moderada, advertindo seus leitores para os riscos do investimento</w:t>
      </w:r>
      <w:proofErr w:type="gramEnd"/>
      <w:r>
        <w:rPr>
          <w:rFonts w:ascii="Times New Roman" w:hAnsi="Times New Roman"/>
        </w:rPr>
        <w:t xml:space="preserve">; </w:t>
      </w:r>
      <w:bookmarkEnd w:id="153"/>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4" w:name="_DV_C179"/>
      <w:r>
        <w:rPr>
          <w:rFonts w:ascii="Times New Roman" w:hAnsi="Times New Roman"/>
        </w:rPr>
        <w:t>III – ser identificado como material de divulgação;</w:t>
      </w:r>
      <w:bookmarkEnd w:id="154"/>
      <w:r>
        <w:rPr>
          <w:rFonts w:ascii="Times New Roman" w:hAnsi="Times New Roman"/>
        </w:rPr>
        <w:t xml:space="preserve">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5" w:name="_DV_C180"/>
      <w:r>
        <w:rPr>
          <w:rFonts w:ascii="Times New Roman" w:hAnsi="Times New Roman"/>
        </w:rPr>
        <w:t>IV – mencionar a existência da lâmina e do prospecto, quando houver, bem como os endereços na rede mundial de computadores nos quais tais documentos podem ser obtidos</w:t>
      </w:r>
      <w:bookmarkEnd w:id="155"/>
      <w:r>
        <w:rPr>
          <w:rFonts w:ascii="Times New Roman" w:hAnsi="Times New Roman"/>
        </w:rPr>
        <w:t>.</w:t>
      </w:r>
    </w:p>
    <w:p w:rsidR="00B2445D" w:rsidRDefault="00B2445D" w:rsidP="00B2445D">
      <w:pPr>
        <w:pStyle w:val="NormalWeb"/>
        <w:ind w:firstLine="540"/>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Artigo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74.  Nenhum material de divulgação pode assegurar ou sugerir a existência de garantia de resultados futuros ou isenção de risco para o investidor.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40"/>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Artigo revogado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75.  Qualquer divulgação de informação sobre os resultados do fundo só pode ser feita, por qualquer meio, após um período de carência de </w:t>
      </w:r>
      <w:proofErr w:type="gramStart"/>
      <w:r>
        <w:rPr>
          <w:rFonts w:ascii="Times New Roman" w:hAnsi="Times New Roman"/>
        </w:rPr>
        <w:t>6</w:t>
      </w:r>
      <w:proofErr w:type="gramEnd"/>
      <w:r>
        <w:rPr>
          <w:rFonts w:ascii="Times New Roman" w:hAnsi="Times New Roman"/>
        </w:rPr>
        <w:t xml:space="preserve"> (seis) meses, a partir da data da primeira emissão de cotas.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76.  Toda informação divulgada por qualquer meio, na qual seja incluída referência à rentabilidade do fundo, deve obrigatoriamente: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mencionar a data do início de seu funcionamento;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contemplar, adicionalmente à informação divulgada, a rentabilidade mensal e acumulada nos últimos 12 (doze) meses ou no período decorrido desde a sua constituição, se inferior, observado o disposto no artigo 75;</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contemplar, adicionalmente à informação divulgada, a rentabilidade mensal e a rentabilidade acumulada nos últimos 12 (doze) meses, não sendo obrigatória, neste caso, a discriminação mês a mês, ou no período decorrido desde a sua constituição, se inferior, observado o disposto no artigo 75;</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Inciso II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ser acompanhada do valor do patrimônio líquido médio mensal dos últimos 12 (doze) meses ou desde a sua constituição, se mais recente;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divulgar o valor da taxa de administração e da taxa de </w:t>
      </w:r>
      <w:proofErr w:type="gramStart"/>
      <w:r>
        <w:rPr>
          <w:rFonts w:ascii="Times New Roman" w:hAnsi="Times New Roman"/>
        </w:rPr>
        <w:t>performance</w:t>
      </w:r>
      <w:proofErr w:type="gramEnd"/>
      <w:r>
        <w:rPr>
          <w:rFonts w:ascii="Times New Roman" w:hAnsi="Times New Roman"/>
        </w:rPr>
        <w:t>, se houver, expressa no regulamento vigente nos últimos 12(doze) meses ou desde sua constituição, se mais recente; 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destacar o público alvo do fundo e as restrições quanto à captação, de forma a ressaltar eventual impossibilidade, permanente ou temporária, de acesso ao fundo por parte de investidores em geral.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Parágrafo único. Caso o administrador contrate os serviços de empresa de classificação de risco, deverá apresentar, em todo o material de divulgação, o grau mais recente conferido ao fundo, bem como a indicação de como obter maiores informações sobre a avaliação efetuada.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Caso o administrador contrate os serviços de empresa de classificação de risco, deverá apresentar, em todo o material de divulgação, o grau mais recente conferido ao fundo, bem como a indicação de como obter maiores informações sobre a avaliação efetuada.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highlight w:val="yellow"/>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Caso haja mudança na classificação de um fundo (art. 92), ou mudança significativa em sua política de investimento, o administrador poderá divulgar, adicional e separadamente à divulgação referida no inciso II deste artigo, a rentabilidade relativa ao período posterior à mudança, informando as razões dessa dupla divulgação.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Primitivo parágrafo único transformado em §§1º e 2º pela Instrução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77.  A divulgação de rentabilidade deverá ser acompanhada de comparação, no mesmo período, com índice de mercado compatível com a política de investimento do fundo, se houver.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78.  No caso de divulgação de informações que </w:t>
      </w:r>
      <w:proofErr w:type="gramStart"/>
      <w:r>
        <w:rPr>
          <w:rFonts w:ascii="Times New Roman" w:hAnsi="Times New Roman"/>
        </w:rPr>
        <w:t>tenham por base análise comparativa com outros fundos de investimento</w:t>
      </w:r>
      <w:proofErr w:type="gramEnd"/>
      <w:r>
        <w:rPr>
          <w:rFonts w:ascii="Times New Roman" w:hAnsi="Times New Roman"/>
        </w:rPr>
        <w:t>, devem ser informados simultaneamente as datas, os períodos, a fonte das informações utilizadas, os critérios de comparação adotados e tudo o mais que seja relevante para possibilitar uma adequada avaliação, pelo mercado, dos dados comparativos divulgados.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79.  Sempre que o material de divulgação apresentar informações referentes à rentabilidade ocorrida em períodos anteriores, deve ser incluída advertência, com destaque, de que: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 rentabilidade obtida no passado não representa garantia de resultados futuros;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os investimentos em fundos não são garantidos pelo administrador ou por qualquer mecanismo de seguro ou, ainda, pelo fundo garantidor de crédito.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56" w:name="_DV_C198"/>
      <w:r>
        <w:rPr>
          <w:rFonts w:ascii="Times New Roman" w:hAnsi="Times New Roman"/>
        </w:rPr>
        <w:t>Art. 79-A.</w:t>
      </w:r>
      <w:proofErr w:type="gramStart"/>
      <w:r>
        <w:rPr>
          <w:rFonts w:ascii="Times New Roman" w:hAnsi="Times New Roman"/>
        </w:rPr>
        <w:t xml:space="preserve">  </w:t>
      </w:r>
      <w:proofErr w:type="gramEnd"/>
      <w:r>
        <w:rPr>
          <w:rFonts w:ascii="Times New Roman" w:hAnsi="Times New Roman"/>
        </w:rPr>
        <w:t>A presente seção não se aplica à lâmina.</w:t>
      </w:r>
      <w:bookmarkEnd w:id="156"/>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 79-A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w:t>
      </w:r>
    </w:p>
    <w:p w:rsidR="00B2445D" w:rsidRDefault="00B2445D" w:rsidP="00B2445D">
      <w:pPr>
        <w:pStyle w:val="NormalWeb"/>
        <w:ind w:firstLine="567"/>
        <w:jc w:val="center"/>
        <w:rPr>
          <w:rFonts w:ascii="Times New Roman" w:hAnsi="Times New Roman"/>
        </w:rPr>
      </w:pPr>
      <w:r>
        <w:rPr>
          <w:rFonts w:ascii="Times New Roman" w:hAnsi="Times New Roman"/>
        </w:rPr>
        <w:t>Das Demonstrações Contábeis e dos Relatórios de Auditoria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80.  O fundo deve ter escrituração contábil própria, devendo as contas e demonstrações contábeis do mesmo </w:t>
      </w:r>
      <w:proofErr w:type="gramStart"/>
      <w:r>
        <w:rPr>
          <w:rFonts w:ascii="Times New Roman" w:hAnsi="Times New Roman"/>
        </w:rPr>
        <w:t>serem</w:t>
      </w:r>
      <w:proofErr w:type="gramEnd"/>
      <w:r>
        <w:rPr>
          <w:rFonts w:ascii="Times New Roman" w:hAnsi="Times New Roman"/>
        </w:rPr>
        <w:t xml:space="preserve"> segregadas das do administrador.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81.  O exercício do fundo deve ser encerrado a cada 12 (doze) meses, quando serão levantadas as demonstrações contábeis do fundo relativas ao período findo.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A data do encerramento do exercício do fundo deve coincidir com o fim de um dos meses do calendário civil.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82.  As demonstrações contábeis devem ser colocadas à disposição de qualquer interessado que as solicitar ao administrador, no prazo de 90 (noventa) dias após o encerramento do período.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83.  A elaboração das demonstrações contábeis deve observar as normas específicas baixadas pela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84.  As demonstrações contábeis do fundo devem ser auditadas anualmente por auditor independente registrado na CVM, observadas as normas que disciplinam o exercício dessa atividade.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As demonstrações contábeis referidas no caput deste artigo são obrigatórias somente para fundos em atividade há mais de 90 (noventa) dias.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A auditoria das demonstrações contábeis não é obrigatória para fundos em atividade há menos de 90 (noventa) dias.</w:t>
      </w:r>
    </w:p>
    <w:p w:rsidR="00B2445D" w:rsidRDefault="00B2445D" w:rsidP="00B2445D">
      <w:pPr>
        <w:pStyle w:val="NormalWeb"/>
        <w:ind w:firstLine="567"/>
        <w:jc w:val="both"/>
        <w:rPr>
          <w:rFonts w:ascii="Times New Roman" w:hAnsi="Times New Roman"/>
          <w:highlight w:val="yellow"/>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Parágrafo único com redação dada pela Instrução CVM nº 456, de 22 de junho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VIII</w:t>
      </w:r>
    </w:p>
    <w:p w:rsidR="00B2445D" w:rsidRDefault="00B2445D" w:rsidP="00B2445D">
      <w:pPr>
        <w:pStyle w:val="NormalWeb"/>
        <w:ind w:firstLine="567"/>
        <w:jc w:val="center"/>
        <w:rPr>
          <w:rFonts w:ascii="Times New Roman" w:hAnsi="Times New Roman"/>
        </w:rPr>
      </w:pPr>
      <w:r>
        <w:rPr>
          <w:rFonts w:ascii="Times New Roman" w:hAnsi="Times New Roman"/>
          <w:b/>
        </w:rPr>
        <w:t>DA CARTEIRA</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Das Disposições Gerais</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85.  O fundo deve manter seu patrimônio aplicado em títulos e valores mobiliários, ativos financeiros e modalidades operacionais disponíveis no mercado financeiro e de capitais, nos termos estabelecidos em seu regulamento.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85.  O fundo deve manter seu patrimônio aplicado em títulos e valores mobiliários, ativos financeiros e modalidades operacionais disponíveis no mercado financeiro e de capitais, nos termos estabelecidos em seu regulamento, observados os limites de que trata esta Instrução.</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33"/>
        </w:numPr>
        <w:ind w:left="0" w:firstLine="567"/>
        <w:jc w:val="both"/>
        <w:rPr>
          <w:rFonts w:ascii="Times New Roman" w:hAnsi="Times New Roman"/>
          <w:b/>
          <w:strike/>
        </w:rPr>
      </w:pPr>
      <w:r>
        <w:rPr>
          <w:rFonts w:ascii="Times New Roman" w:hAnsi="Times New Roman"/>
          <w:b/>
          <w:strike/>
        </w:rPr>
        <w:t xml:space="preserve">Caput 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O fundo aberto deve se adaptar aos requisitos de diversificação de carteira de acordo com o disposto no regulamento no prazo máximo de 60 (sessenta) dias, a contar da data da primeira integralização de cotas.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§2º</w:t>
      </w:r>
      <w:proofErr w:type="gramStart"/>
      <w:r>
        <w:rPr>
          <w:rFonts w:ascii="Times New Roman" w:hAnsi="Times New Roman"/>
          <w:strike/>
        </w:rPr>
        <w:t xml:space="preserve">  </w:t>
      </w:r>
      <w:proofErr w:type="gramEnd"/>
      <w:r>
        <w:rPr>
          <w:rFonts w:ascii="Times New Roman" w:hAnsi="Times New Roman"/>
          <w:strike/>
        </w:rPr>
        <w:t>O fundo fechado deve se adaptar aos requisitos de diversificação de carteira de acordo com o disposto no regulamento no prazo máximo de 180 (cento e oitenta) dias da data de encerramento da distribuição.</w:t>
      </w:r>
    </w:p>
    <w:p w:rsidR="00B2445D" w:rsidRDefault="00B2445D" w:rsidP="00B2445D">
      <w:pPr>
        <w:pStyle w:val="NormalWeb"/>
        <w:ind w:firstLine="567"/>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As aplicações do fundo em "warrants" e em contratos mercantis de compra e venda de produtos, mercadorias ou serviços para entrega ou prestação futura, bem como em títulos ou certificados representativos desses contratos, sem prejuízo do disposto no parágrafo anterior e na Resolução n.º 2.801, de 7 de dezembro de 2000, do Conselho Monetário Nacional, devem contar com garantia de instituição financeira ou de sociedade seguradora, observada, neste último caso, regulamentação específica da Superintendência de Seguros Privados - SUSEP.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As aplicações do fundo em "warrants" e em contratos mercantis de compra e venda de produtos, mercadorias ou serviços para entrega ou prestação futura, bem como em títulos ou certificados representativos desses contratos, sem prejuízo do disposto no artigo 86 e na Resolução n.º 2.801, de 7 de dezembro de 2000, do Conselho Monetário Nacional, devem contar com garantia de instituição financeira ou de sociedade seguradora, observada, neste último caso, regulamentação específica da Superintendência de Seguros Privados – SUSEP. </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34"/>
        </w:numPr>
        <w:ind w:left="0" w:firstLine="567"/>
        <w:jc w:val="both"/>
        <w:rPr>
          <w:rFonts w:ascii="Times New Roman" w:hAnsi="Times New Roman"/>
          <w:b/>
          <w:strike/>
        </w:rPr>
      </w:pPr>
      <w:r>
        <w:rPr>
          <w:rFonts w:ascii="Times New Roman" w:hAnsi="Times New Roman"/>
          <w:b/>
          <w:strike/>
        </w:rPr>
        <w:t>§3º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§4º</w:t>
      </w:r>
      <w:proofErr w:type="gramStart"/>
      <w:r>
        <w:rPr>
          <w:rFonts w:ascii="Times New Roman" w:hAnsi="Times New Roman"/>
          <w:strike/>
        </w:rPr>
        <w:t xml:space="preserve">  </w:t>
      </w:r>
      <w:proofErr w:type="gramEnd"/>
      <w:r>
        <w:rPr>
          <w:rFonts w:ascii="Times New Roman" w:hAnsi="Times New Roman"/>
          <w:strike/>
        </w:rPr>
        <w:t>As operações do fundo em mercados de derivativos podem ser realizadas tanto naqueles administrados por bolsas de valores ou bolsas de mercadorias e de futuros, quanto nos de balcão, neste caso desde que devidamente registradas em sistemas de registro e de liquidação financeira de ativos autorizados pelo Banco Central do Brasil ou pela CVM.</w:t>
      </w:r>
    </w:p>
    <w:p w:rsidR="00B2445D" w:rsidRDefault="00B2445D" w:rsidP="00B2445D">
      <w:pPr>
        <w:pStyle w:val="NormalWeb"/>
        <w:jc w:val="both"/>
        <w:rPr>
          <w:rFonts w:ascii="Verdana" w:hAnsi="Verdana"/>
          <w:sz w:val="20"/>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85.  O fundo deve manter seu patrimônio aplicado em títulos e valores mobiliários, ativos financeiros, conforme definição do art. 2º, nos termos estabelecidos em seu regulamento, observados os limites de que trata esta Instrução.</w:t>
      </w:r>
    </w:p>
    <w:p w:rsidR="00B2445D" w:rsidRDefault="00B2445D" w:rsidP="00B2445D">
      <w:pPr>
        <w:pStyle w:val="BodyTextIndent2"/>
        <w:tabs>
          <w:tab w:val="left" w:leader="dot" w:pos="5103"/>
        </w:tabs>
        <w:spacing w:before="240" w:after="240"/>
        <w:ind w:firstLine="540"/>
      </w:pPr>
      <w:r>
        <w:t>Art. 85.  O fundo deve manter seu patrimônio aplicado em ativos financeiros, conforme definição do art. 2º, nos termos estabelecidos em seu regulamento, observados os limites de que trata esta Instrução.</w:t>
      </w: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Caput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1º</w:t>
      </w:r>
      <w:proofErr w:type="gramStart"/>
      <w:r>
        <w:rPr>
          <w:rFonts w:ascii="Times New Roman" w:hAnsi="Times New Roman"/>
          <w:strike/>
        </w:rPr>
        <w:t xml:space="preserve">  </w:t>
      </w:r>
      <w:proofErr w:type="gramEnd"/>
      <w:r>
        <w:rPr>
          <w:rFonts w:ascii="Times New Roman" w:hAnsi="Times New Roman"/>
          <w:strike/>
        </w:rPr>
        <w:t>O fundo poderá manter em sua carteira ativos financeiros negociados no exterior, até o limite de 100% (cem por cento) para os fundos classificados como “Dívida Externa”, 20% (vinte por cento) para os classificados como “Multimercado”, e 10% (dez por cento) nas demais classes, desde que observado o disposto nos §§ 5º e 6º do art. 2º.</w:t>
      </w:r>
    </w:p>
    <w:p w:rsidR="00B2445D" w:rsidRDefault="00B2445D" w:rsidP="00B2445D">
      <w:pPr>
        <w:pStyle w:val="BodyTextIndent2"/>
        <w:tabs>
          <w:tab w:val="left" w:leader="dot" w:pos="5103"/>
        </w:tabs>
        <w:spacing w:before="240" w:after="240"/>
        <w:ind w:firstLine="540"/>
      </w:pPr>
      <w:r>
        <w:t>§ 1º</w:t>
      </w:r>
      <w:proofErr w:type="gramStart"/>
      <w:r>
        <w:t xml:space="preserve">  </w:t>
      </w:r>
      <w:proofErr w:type="gramEnd"/>
      <w:r>
        <w:t>Observado o disposto nos §§ 5º e 6º do artigo 2º, o fundo poderá manter em sua carteira ativos financeiros negociados no exterior, nas seguintes condições:</w:t>
      </w:r>
    </w:p>
    <w:p w:rsidR="00B2445D" w:rsidRDefault="00B2445D" w:rsidP="00B2445D">
      <w:pPr>
        <w:pStyle w:val="BodyTextIndent2"/>
        <w:tabs>
          <w:tab w:val="left" w:leader="dot" w:pos="5103"/>
        </w:tabs>
        <w:spacing w:before="240" w:after="240"/>
        <w:ind w:firstLine="540"/>
      </w:pPr>
      <w:r>
        <w:t>I – ilimitadamente, para os fundos classificados como “Dívida Externa” e para os fundos de qualquer classe que atendam o disposto no artigo 110-B;</w:t>
      </w:r>
    </w:p>
    <w:p w:rsidR="00B2445D" w:rsidRDefault="00B2445D" w:rsidP="00B2445D">
      <w:pPr>
        <w:pStyle w:val="BodyTextIndent2"/>
        <w:tabs>
          <w:tab w:val="left" w:leader="dot" w:pos="5103"/>
        </w:tabs>
        <w:spacing w:before="240" w:after="240"/>
        <w:ind w:firstLine="540"/>
      </w:pPr>
      <w:r>
        <w:t xml:space="preserve">II – até 20% (vinte por cento) de seu patrimônio líquido para os fundos classificados como “Multimercado”; </w:t>
      </w:r>
      <w:proofErr w:type="gramStart"/>
      <w:r>
        <w:t>e</w:t>
      </w:r>
      <w:proofErr w:type="gramEnd"/>
    </w:p>
    <w:p w:rsidR="00B2445D" w:rsidRDefault="00B2445D" w:rsidP="00B2445D">
      <w:pPr>
        <w:pStyle w:val="BodyTextIndent2"/>
        <w:tabs>
          <w:tab w:val="left" w:leader="dot" w:pos="5103"/>
        </w:tabs>
        <w:spacing w:before="240" w:after="240"/>
        <w:ind w:firstLine="540"/>
      </w:pPr>
      <w:r>
        <w:t>III – até 10% (dez por cento) de seu patrimônio líquido, para os casos não contemplados nos incisos I e II acima.</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4"/>
        </w:numPr>
        <w:ind w:left="0" w:firstLine="567"/>
        <w:jc w:val="both"/>
        <w:rPr>
          <w:rFonts w:ascii="Times New Roman" w:hAnsi="Times New Roman"/>
          <w:b/>
        </w:rPr>
      </w:pPr>
      <w:r>
        <w:rPr>
          <w:rFonts w:ascii="Times New Roman" w:hAnsi="Times New Roman"/>
          <w:b/>
        </w:rPr>
        <w:t xml:space="preserve">§ 1º com redação dada pela Instrução CVM nº465, de 20 de fevereiro de 2008. </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As aplicações em ativos no exterior, serão consideradas, cumulativamente, no cálculo dos correspondentes limites de concentração por emissor e por modalidade.</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Na hipótese do § 1º, o regulamento, o prospecto e o material de venda do fundo deverão conter, com destaque, alerta de que o fundo está autorizado a realizar aplicações em ativos financeiros no exterior.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Na hipótese do § 1º, caso a política de investimento do fundo permita a aplicação em cotas de outros fundos, o administrador deverá assegurar-se de que, na consolidação das aplicações do fundo investidor com as dos fundos investidos, os limites de aplicação ali referidos não serão excedidos.</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rPr>
      </w:pPr>
      <w:r>
        <w:rPr>
          <w:rFonts w:ascii="Times New Roman" w:hAnsi="Times New Roman"/>
          <w:b/>
        </w:rPr>
        <w:t>Art. 85 e §§ com redação dada pela Instrução CVM nº 450, de 30 de março de 2007.</w:t>
      </w:r>
    </w:p>
    <w:p w:rsidR="00B2445D" w:rsidRDefault="00B2445D" w:rsidP="00B2445D">
      <w:pPr>
        <w:pStyle w:val="NormalWeb"/>
        <w:ind w:right="-6"/>
        <w:jc w:val="center"/>
        <w:rPr>
          <w:rFonts w:ascii="Times New Roman" w:hAnsi="Times New Roman"/>
        </w:rPr>
      </w:pPr>
    </w:p>
    <w:p w:rsidR="00B2445D" w:rsidRDefault="00B2445D" w:rsidP="00B2445D">
      <w:pPr>
        <w:pStyle w:val="NormalWeb"/>
        <w:ind w:right="-6"/>
        <w:jc w:val="center"/>
        <w:rPr>
          <w:rFonts w:ascii="Times New Roman" w:hAnsi="Times New Roman"/>
        </w:rPr>
      </w:pPr>
      <w:r>
        <w:rPr>
          <w:rFonts w:ascii="Times New Roman" w:hAnsi="Times New Roman"/>
        </w:rPr>
        <w:t>Seção II</w:t>
      </w:r>
    </w:p>
    <w:p w:rsidR="00B2445D" w:rsidRDefault="00B2445D" w:rsidP="00B2445D">
      <w:pPr>
        <w:pStyle w:val="NormalWeb"/>
        <w:ind w:right="-6"/>
        <w:jc w:val="center"/>
        <w:rPr>
          <w:rFonts w:ascii="Times New Roman" w:hAnsi="Times New Roman"/>
        </w:rPr>
      </w:pPr>
      <w:r>
        <w:rPr>
          <w:rFonts w:ascii="Times New Roman" w:hAnsi="Times New Roman"/>
        </w:rPr>
        <w:t>Dos Limites por Emissor</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II inserida pela Instrução CVM nº 450, de 30 de março de 2007.</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86.  Os títulos e valores mobiliários, bem como outros ativos financeiros integrantes da carteira do fundo, devem estar devidamente custodiados, registrados em contas de depósitos específicas, abertas diretamente em nome do fundo, em sistemas de registro e de liquidação financeira de ativos autorizados pelo Banco Central do Brasil ou em instituições autorizadas à prestação de serviços de custódia pela CVM.</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Excetuam-se do disposto no caput deste artigo as aplicações em cotas de fundos de investimento e aquelas realizadas no Mercosul.</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360"/>
        <w:jc w:val="both"/>
        <w:rPr>
          <w:rFonts w:ascii="Times New Roman" w:hAnsi="Times New Roman"/>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As aplicações efetuadas em ouro somente são facultadas quando as respectivas operações forem realizadas em bolsas de mercadorias e de futuros. </w:t>
      </w:r>
    </w:p>
    <w:p w:rsidR="00B2445D" w:rsidRDefault="00B2445D" w:rsidP="00B2445D">
      <w:pPr>
        <w:pStyle w:val="NormalWeb"/>
        <w:ind w:right="-5"/>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86.  O fundo observará os seguintes limites de concentração por emissor, sem prejuízo das normas aplicáveis à sua classe (art. 92):</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até 20% (vinte por cento) do patrimônio líquido do fundo quando o emissor for instituição financeira autorizada a funcionar pelo Banco Central do Brasil;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até 10% (dez por cento) do patrimônio líquido do fundo quando o emissor for companhia aberta;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até 10% (dez por cento) do patrimônio líquido do fundo quando o emissor for fundo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até 5% (cinco por cento) do patrimônio líquido do fundo quando o emissor for pessoa física ou pessoa jurídica de direito privado que não seja companhia aberta ou instituição financeira autorizada a funcionar pelo Banco Central do Brasil;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não haverá limites quando o emissor for a União Federal.</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Para efeito de cálculo dos limites estabelecidos no caput:</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considerar-se-á emissor a pessoa física ou jurídica, o fundo de investimento e o patrimônio separado na forma da lei, obrigados ou </w:t>
      </w:r>
      <w:proofErr w:type="spellStart"/>
      <w:proofErr w:type="gramStart"/>
      <w:r>
        <w:rPr>
          <w:rFonts w:ascii="Times New Roman" w:hAnsi="Times New Roman"/>
        </w:rPr>
        <w:t>co-obrigados</w:t>
      </w:r>
      <w:proofErr w:type="spellEnd"/>
      <w:proofErr w:type="gramEnd"/>
      <w:r>
        <w:rPr>
          <w:rFonts w:ascii="Times New Roman" w:hAnsi="Times New Roman"/>
        </w:rPr>
        <w:t xml:space="preserve"> pela liquidação do ativo financeiro;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considerar-se-ão como de um mesmo emissor os ativos financeiros de responsabilidade de emissores integrantes de um mesmo grupo econômico, assim entendido o composto pelo emissor e por seus controladores, controlados, coligados ou com ele submetidos a controle comum;</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considerar-se-á controlador o titular de direitos que assegurem a preponderância nas deliberações e o poder de eleger a maioria dos administradores, direta ou indiretamente;</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considerar-se-ão coligadas duas pessoas jurídicas quando uma for titular de 10% (dez por cento) ou mais do capital social ou do patrimônio da outra, sem ser sua controladora; </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considerar-se-ão submetidas a controle comum duas pessoas jurídicas que tenham o mesmo controlador, direto ou indireto, salvo quando se tratar de companhias abertas com ações negociadas em bolsa de valores em segmento de listagem que exija no mínimo 25% de ações em circulação no mercado.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fundo não poderá deter mais de 20% (vinte por cento) de seu patrimônio líquido em títulos ou valores mobiliários de emissão do administrador, do gestor ou de empresas a eles ligadas, observando-se, ainda, cumulativamente, que:</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é vedada a aquisição de ações de emissão do administrador, exceto no caso do fundo cuja política de investimento consista em buscar reproduzir índice de mercado do qual as ações do administrador ou de companhias a ele ligadas façam parte, caso em que tais ações poderão ser adquiridas na mesma proporção de sua participação no respectivo índice;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 regulamento deverá dispor sobre o percentual máximo de aplicação em cotas de fundos de investimento administrados por seu administrador, gestor ou empresa a eles ligada, nos termos do inciso IV do § 1º deste artigo.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 xml:space="preserve">O valor das posições do fundo em contratos derivativos será considerado no cálculo dos limites estabelecidos neste artigo, cumulativamente, em relação: </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ao emissor do ativo subjacente;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 – à contraparte, quando se tratar de derivativos sem garantia de liquidação por câmaras ou prestadores de serviços de compensação e de liquidação autorizados a funcionar pelo Banco Central do Brasil ou pela CVM.</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Para efeito do disposto no § 3º, os contratos derivativos serão considerados em função do valor de exposição, corrente e potencial, que acarretem sobre as posições detidas pelo fundo, apurado com base em metodologia consistente e passível de verificação.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rPr>
          <w:rFonts w:ascii="Times New Roman" w:hAnsi="Times New Roman"/>
        </w:rPr>
      </w:pPr>
      <w:r>
        <w:rPr>
          <w:rFonts w:ascii="Times New Roman" w:hAnsi="Times New Roman"/>
        </w:rPr>
        <w:t>§ 5º</w:t>
      </w:r>
      <w:proofErr w:type="gramStart"/>
      <w:r>
        <w:rPr>
          <w:rFonts w:ascii="Times New Roman" w:hAnsi="Times New Roman"/>
        </w:rPr>
        <w:t xml:space="preserve">  </w:t>
      </w:r>
      <w:proofErr w:type="gramEnd"/>
      <w:r>
        <w:rPr>
          <w:rFonts w:ascii="Times New Roman" w:hAnsi="Times New Roman"/>
        </w:rPr>
        <w:t>Nas operações sem garantia de liquidação por câmaras ou prestadores de serviços de compensação e de liquidação autorizados a funcionar pelo Banco Central do Brasil ou pela CVM, as posições detidas pelo fundo em operações com uma mesma contraparte serão consolidadas, observando-se, nesse caso, as posições líquidas de exposição, caso a compensação bilateral não tenha sido contratualmente afastada.</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6º</w:t>
      </w:r>
      <w:proofErr w:type="gramStart"/>
      <w:r>
        <w:rPr>
          <w:rFonts w:ascii="Times New Roman" w:hAnsi="Times New Roman"/>
        </w:rPr>
        <w:t xml:space="preserve">  </w:t>
      </w:r>
      <w:proofErr w:type="gramEnd"/>
      <w:r>
        <w:rPr>
          <w:rFonts w:ascii="Times New Roman" w:hAnsi="Times New Roman"/>
        </w:rPr>
        <w:t>Nas operações compromissadas, os limites estabelecidos para os emissores serão observados: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em relação aos emissores dos </w:t>
      </w:r>
      <w:proofErr w:type="gramStart"/>
      <w:r>
        <w:rPr>
          <w:rFonts w:ascii="Times New Roman" w:hAnsi="Times New Roman"/>
        </w:rPr>
        <w:t>ativos objeto</w:t>
      </w:r>
      <w:proofErr w:type="gram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 quando alienados pelo fundo com compromisso de recompra;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b) cuja aquisição tenha sido contratada com base em operações a termo a que se refere o art. 1º, inciso V, do Regulamento anexo à Resolução nº 3.339, de 2006, do Conselho Monetário Nacional, sem prejuízo do disposto nos §§ 4º e 5º deste artigo; </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em relação à contraparte do fundo, nas operações sem garantia de liquidação por câmaras ou prestadores de serviços de compensação e de liquidação autorizados a funcionar pelo Banco Central do Brasil ou pela CVM.</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7º</w:t>
      </w:r>
      <w:proofErr w:type="gramStart"/>
      <w:r>
        <w:rPr>
          <w:rFonts w:ascii="Times New Roman" w:hAnsi="Times New Roman"/>
        </w:rPr>
        <w:t xml:space="preserve">  </w:t>
      </w:r>
      <w:proofErr w:type="gramEnd"/>
      <w:r>
        <w:rPr>
          <w:rFonts w:ascii="Times New Roman" w:hAnsi="Times New Roman"/>
        </w:rPr>
        <w:t>Não se submeterão aos limites de que trata este artigo as operações compromissadas:</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lastreadas em títulos públicos federais;</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de compra, pelo fundo, com compromisso de revenda, desde que contem com garantia de liquidação por câmaras ou prestadoras de serviços de compensação e de liquidação autorizados a funcionar pelo Banco Central do Brasil ou pela CVM;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de vendas a termo, referidas no art. 1º, inciso V, do Regulamento anexo à Resolução nº 3.339, de 2006, do Conselho Monetário Nacional.</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8º</w:t>
      </w:r>
      <w:proofErr w:type="gramStart"/>
      <w:r>
        <w:rPr>
          <w:rFonts w:ascii="Times New Roman" w:hAnsi="Times New Roman"/>
        </w:rPr>
        <w:t xml:space="preserve">  </w:t>
      </w:r>
      <w:proofErr w:type="gramEnd"/>
      <w:r>
        <w:rPr>
          <w:rFonts w:ascii="Times New Roman" w:hAnsi="Times New Roman"/>
        </w:rPr>
        <w:t>Serão observadas as disposições previstas nos §§ 4º a 5º deste artigo nas seguintes modalidades de operações compromissadas:</w:t>
      </w:r>
    </w:p>
    <w:p w:rsidR="00B2445D" w:rsidRDefault="00B2445D" w:rsidP="00B2445D">
      <w:pPr>
        <w:pStyle w:val="NormalWeb"/>
        <w:ind w:right="-6" w:firstLine="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as liquidáveis a critério de uma das partes (art. 1º, inciso I, alínea “c”, e inciso II, alínea “c” do regulamento anexo à Resolução nº 3.339, de 26 de janeiro de 2006, do Conselho Monetário Nacional);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as de compra ou de venda a termo (art. 1º, incisos V e VI do regulamento anexo à Resolução nº 3.339, de 2006, do Conselho Monetário Nacional).</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9º</w:t>
      </w:r>
      <w:proofErr w:type="gramStart"/>
      <w:r>
        <w:rPr>
          <w:rFonts w:ascii="Times New Roman" w:hAnsi="Times New Roman"/>
        </w:rPr>
        <w:t xml:space="preserve">  </w:t>
      </w:r>
      <w:proofErr w:type="gramEnd"/>
      <w:r>
        <w:rPr>
          <w:rFonts w:ascii="Times New Roman" w:hAnsi="Times New Roman"/>
        </w:rPr>
        <w:t>Os limites estabelecidos neste artigo não se aplicam às cotas de fundos de investimento quando adquiridas por fundos de investimento em cotas de fundos de investimento, os quais observarão o disposto no Capítulo XIII desta Instrução.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10</w:t>
      </w:r>
      <w:proofErr w:type="gramStart"/>
      <w:r>
        <w:rPr>
          <w:rFonts w:ascii="Times New Roman" w:hAnsi="Times New Roman"/>
        </w:rPr>
        <w:t xml:space="preserve">  </w:t>
      </w:r>
      <w:proofErr w:type="gramEnd"/>
      <w:r>
        <w:rPr>
          <w:rFonts w:ascii="Times New Roman" w:hAnsi="Times New Roman"/>
        </w:rPr>
        <w:t>Com relação às aplicações dos fundos de investimento, que não sejam fundos de investimento em cotas de fundos de investimento, ficam vedadas:</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as aplicações, pelo fundo, em cotas de fundos que nele invistam; </w:t>
      </w:r>
      <w:proofErr w:type="gramStart"/>
      <w:r>
        <w:rPr>
          <w:rFonts w:ascii="Times New Roman" w:hAnsi="Times New Roman"/>
        </w:rPr>
        <w:t>e</w:t>
      </w:r>
      <w:proofErr w:type="gramEnd"/>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as aplicações em cotas de fundos que não estejam previstos no inciso I do art. 87 desta Instrução.</w:t>
      </w:r>
    </w:p>
    <w:p w:rsidR="00B2445D" w:rsidRDefault="00B2445D" w:rsidP="00B2445D">
      <w:pPr>
        <w:pStyle w:val="NormalWeb"/>
        <w:ind w:right="-6"/>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11</w:t>
      </w:r>
      <w:proofErr w:type="gramStart"/>
      <w:r>
        <w:rPr>
          <w:rFonts w:ascii="Times New Roman" w:hAnsi="Times New Roman"/>
          <w:strike/>
        </w:rPr>
        <w:t xml:space="preserve">  </w:t>
      </w:r>
      <w:proofErr w:type="gramEnd"/>
      <w:r>
        <w:rPr>
          <w:rFonts w:ascii="Times New Roman" w:hAnsi="Times New Roman"/>
          <w:strike/>
        </w:rPr>
        <w:t xml:space="preserve">Caso a política de investimento do fundo permita a aplicação em cotas de outros fundos, o administrador deverá assegurar-se de que, na consolidação das aplicações do fundo investidor com os fundos investidos, os limites de aplicação referidos neste artigo não serão excedidos. </w:t>
      </w:r>
    </w:p>
    <w:p w:rsidR="00B2445D" w:rsidRDefault="00B2445D" w:rsidP="00B2445D">
      <w:pPr>
        <w:pStyle w:val="NormalWeb"/>
        <w:ind w:right="-5"/>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11. Caso a política de investimento do fundo permita a aplicação em cotas de outros fundos, o administrador deverá assegurar-se de que, na consolidação das aplicações do fundo investidor com as dos fundos investidos, os limites de aplicação referidos neste artigo não serão excedidos, observado, entretanto, o disposto no art. 115-A.</w:t>
      </w:r>
    </w:p>
    <w:p w:rsidR="00B2445D" w:rsidRDefault="00B2445D" w:rsidP="00B2445D">
      <w:pPr>
        <w:pStyle w:val="NormalWeb"/>
        <w:ind w:firstLine="567"/>
        <w:jc w:val="both"/>
        <w:rPr>
          <w:rFonts w:ascii="Times New Roman" w:hAnsi="Times New Roman"/>
          <w:highlight w:val="yellow"/>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Parágrafo com redação dada pela Instrução CVM nº 456, de 22 de junho de 2007.</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Art. 86 e §§ com redação dada pela Instrução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right="-5"/>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III</w:t>
      </w:r>
    </w:p>
    <w:p w:rsidR="00B2445D" w:rsidRDefault="00B2445D" w:rsidP="00B2445D">
      <w:pPr>
        <w:pStyle w:val="NormalWeb"/>
        <w:ind w:firstLine="567"/>
        <w:jc w:val="center"/>
        <w:rPr>
          <w:rFonts w:ascii="Times New Roman" w:hAnsi="Times New Roman"/>
        </w:rPr>
      </w:pPr>
      <w:r>
        <w:rPr>
          <w:rFonts w:ascii="Times New Roman" w:hAnsi="Times New Roman"/>
        </w:rPr>
        <w:t>Dos Limites por Modalidade de Ativo Financeiro</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III introduzida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87.  O fundo não pode deter mais de 20% (vinte por cento) de seu patrimônio líquido em títulos ou valores mobiliários de emissão do administrador, do gestor ou de empresas </w:t>
      </w:r>
      <w:proofErr w:type="gramStart"/>
      <w:r>
        <w:rPr>
          <w:rFonts w:ascii="Times New Roman" w:hAnsi="Times New Roman"/>
          <w:strike/>
        </w:rPr>
        <w:t>a eles ligadas, vedada</w:t>
      </w:r>
      <w:proofErr w:type="gramEnd"/>
      <w:r>
        <w:rPr>
          <w:rFonts w:ascii="Times New Roman" w:hAnsi="Times New Roman"/>
          <w:strike/>
        </w:rPr>
        <w:t xml:space="preserve"> a aquisição de ações de emissão do administrador.</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§1o</w:t>
      </w:r>
      <w:proofErr w:type="gramStart"/>
      <w:r>
        <w:rPr>
          <w:rFonts w:ascii="Times New Roman" w:hAnsi="Times New Roman"/>
          <w:strike/>
        </w:rPr>
        <w:t xml:space="preserve">  </w:t>
      </w:r>
      <w:proofErr w:type="gramEnd"/>
      <w:r>
        <w:rPr>
          <w:rFonts w:ascii="Times New Roman" w:hAnsi="Times New Roman"/>
          <w:strike/>
        </w:rPr>
        <w:t>O regulamento deve dispor sobre o percentual máximo de aplicação em cotas de fundos de investimento administrados por seu administrador, gestor ou empresa a eles ligada.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§2o</w:t>
      </w:r>
      <w:proofErr w:type="gramStart"/>
      <w:r>
        <w:rPr>
          <w:rFonts w:ascii="Times New Roman" w:hAnsi="Times New Roman"/>
          <w:strike/>
        </w:rPr>
        <w:t xml:space="preserve">  </w:t>
      </w:r>
      <w:proofErr w:type="gramEnd"/>
      <w:r>
        <w:rPr>
          <w:rFonts w:ascii="Times New Roman" w:hAnsi="Times New Roman"/>
          <w:strike/>
        </w:rPr>
        <w:t xml:space="preserve">Considera-se empresa ligada aquela em que o administrador do fundo ou o gestor da carteira, seus controladores, administradores ou respectivos cônjuges, companheiros ou parentes até segundo grau, participem em percentagem superior a 10 % (dez por cento) do capital social, direta ou indiretamente, individualmente ou em conjunto, ou na qual ocupem cargo de administração, ressalvado o exercício, pelos administradores do fundo, de cargos obtidos em função do exercício dos direitos relativos aos valores mobiliários integrantes de carteiras por eles administradas na qualidade de administradores de carteiras de terceiros. </w:t>
      </w:r>
    </w:p>
    <w:p w:rsidR="00B2445D" w:rsidRDefault="00B2445D" w:rsidP="00B2445D">
      <w:pPr>
        <w:pStyle w:val="NormalWeb"/>
        <w:ind w:firstLine="567"/>
        <w:jc w:val="both"/>
        <w:rPr>
          <w:rFonts w:ascii="Times New Roman" w:hAnsi="Times New Roman"/>
          <w:strike/>
          <w:color w:val="auto"/>
        </w:rPr>
      </w:pPr>
    </w:p>
    <w:p w:rsidR="00B2445D" w:rsidRDefault="00B2445D" w:rsidP="00B2445D">
      <w:pPr>
        <w:pStyle w:val="NormalWeb"/>
        <w:ind w:firstLine="567"/>
        <w:jc w:val="both"/>
        <w:rPr>
          <w:rFonts w:ascii="Times New Roman" w:hAnsi="Times New Roman"/>
          <w:strike/>
        </w:rPr>
      </w:pPr>
      <w:r>
        <w:rPr>
          <w:rFonts w:ascii="Times New Roman" w:hAnsi="Times New Roman"/>
          <w:strike/>
        </w:rPr>
        <w:t>§3</w:t>
      </w:r>
      <w:r>
        <w:rPr>
          <w:rFonts w:ascii="Times New Roman" w:hAnsi="Times New Roman"/>
          <w:strike/>
          <w:vertAlign w:val="superscript"/>
        </w:rPr>
        <w:t>o</w:t>
      </w:r>
      <w:proofErr w:type="gramStart"/>
      <w:r>
        <w:rPr>
          <w:rFonts w:ascii="Times New Roman" w:hAnsi="Times New Roman"/>
          <w:strike/>
        </w:rPr>
        <w:t xml:space="preserve">  </w:t>
      </w:r>
      <w:proofErr w:type="gramEnd"/>
      <w:r>
        <w:rPr>
          <w:rFonts w:ascii="Times New Roman" w:hAnsi="Times New Roman"/>
          <w:strike/>
        </w:rPr>
        <w:t xml:space="preserve">O disposto no caput não se aplica aos fundos administrados por instituições controladas, direta ou indiretamente, pela União Federal, no que se refere especificamente à aplicação em títulos públicos federais.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§4</w:t>
      </w:r>
      <w:r>
        <w:rPr>
          <w:rFonts w:ascii="Times New Roman" w:hAnsi="Times New Roman"/>
          <w:strike/>
          <w:vertAlign w:val="superscript"/>
        </w:rPr>
        <w:t>o</w:t>
      </w:r>
      <w:proofErr w:type="gramStart"/>
      <w:r>
        <w:rPr>
          <w:rFonts w:ascii="Times New Roman" w:hAnsi="Times New Roman"/>
          <w:strike/>
        </w:rPr>
        <w:t xml:space="preserve">  </w:t>
      </w:r>
      <w:proofErr w:type="gramEnd"/>
      <w:r>
        <w:rPr>
          <w:rFonts w:ascii="Times New Roman" w:hAnsi="Times New Roman"/>
          <w:strike/>
        </w:rPr>
        <w:t xml:space="preserve">O fundo que procurar reproduzir índice de mercado pode adquirir ações de emissão do administrador ou de empresas a ele ligadas, caso incluídas nos referidos índices, na mesma proporção de participação das aludidas ações no respectivo índice.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87.  Cumulativamente aos limites por emissor, o fundo observará os seguintes limites de concentração por modalidades de ativo financeiro, sem prejuízo das normas aplicáveis à sua classe (art. 92).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até 20% (vinte por cento) do patrimônio líquido do fundo, para o conjunto dos seguintes ativos: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cotas de fundos de investimento registrados com base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b) cotas de fundos de investimento em cotas de fundos de investimento registrados com base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c) cotas de Fundos de Investimento Imobiliário – FII;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d) cotas de Fundos de Investimento em Direitos Creditórios – FIDC;</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e) cotas de Fundos de Investimento em Fundos de Investimento em Direitos Creditórios – FIC-FIDC;</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f) cotas de fundos de índice admitidos à negociação em bolsa de valores ou no mercado de balcão organizado;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g) Certificados de Recebíveis Imobiliários – CRI;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h) outros ativos financeiros não previstos no inciso II deste artigo, desde que permitidos pelo § 1º do art. 2º desta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 – não haverá limite de concentração por modalidade de ativo financeiro para o investimento 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títulos públicos federais e operações compromissadas lastreadas nestes títulos;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b) ouro, desde que adquirido ou alienado em negociações realizadas em bolsas de mercadorias e futuros;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c) títulos de emissão ou coobrigação de instituição financeira autorizada a funcionar pelo Banco Central do Brasil;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d) valores mobiliários diversos daqueles previstos no inciso I, desde que registrados na CVM e objeto de oferta pública de acordo com a Instrução CVM nº 400, de 2003. </w:t>
      </w:r>
    </w:p>
    <w:p w:rsidR="00B2445D" w:rsidRDefault="00B2445D" w:rsidP="00B2445D">
      <w:pPr>
        <w:pStyle w:val="NormalWeb"/>
        <w:ind w:right="-5" w:firstLine="567"/>
        <w:jc w:val="both"/>
        <w:rPr>
          <w:rFonts w:ascii="Times New Roman" w:hAnsi="Times New Roman"/>
        </w:rPr>
      </w:pPr>
    </w:p>
    <w:p w:rsidR="00B2445D" w:rsidRDefault="00B2445D" w:rsidP="00B2445D">
      <w:pPr>
        <w:pStyle w:val="BodyTextIndent"/>
        <w:ind w:left="0" w:firstLine="540"/>
      </w:pPr>
      <w:r>
        <w:t>d) valores mobiliários diversos daqueles previstos no inciso I, desde que registrados na CVM e objeto de oferta pública de acordo com a Instrução CVM nº 400, de 2003, observado, ainda, o disposto no inciso II, do §10 do art. 86.</w:t>
      </w:r>
    </w:p>
    <w:p w:rsidR="00B2445D" w:rsidRDefault="00B2445D" w:rsidP="00B2445D">
      <w:pPr>
        <w:pStyle w:val="BodyTextIndent"/>
        <w:ind w:left="0" w:firstLine="540"/>
      </w:pPr>
    </w:p>
    <w:p w:rsidR="00B2445D" w:rsidRDefault="00B2445D" w:rsidP="00B2445D">
      <w:pPr>
        <w:pStyle w:val="BodyTextIndent"/>
        <w:ind w:left="0" w:firstLine="540"/>
      </w:pPr>
      <w:r>
        <w:t>e) contratos derivativos, exceto se referenciados nos ativos listados no inciso I.</w:t>
      </w:r>
    </w:p>
    <w:p w:rsidR="00B2445D" w:rsidRDefault="00B2445D" w:rsidP="00B2445D">
      <w:pPr>
        <w:pStyle w:val="NormalWeb"/>
        <w:ind w:right="-5" w:firstLine="567"/>
        <w:jc w:val="both"/>
        <w:rPr>
          <w:rFonts w:ascii="Times New Roman" w:hAnsi="Times New Roman"/>
          <w:strike/>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Alíneas “d” e “e” com redação dada pela Instrução CVM nº 456, de 22 de junho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right="-5" w:firstLine="567"/>
        <w:jc w:val="both"/>
        <w:rPr>
          <w:rFonts w:ascii="Times New Roman" w:hAnsi="Times New Roman"/>
          <w:strike/>
        </w:rPr>
      </w:pPr>
      <w:r>
        <w:rPr>
          <w:rFonts w:ascii="Times New Roman" w:hAnsi="Times New Roman"/>
          <w:strike/>
        </w:rPr>
        <w:t>§ 1º</w:t>
      </w:r>
      <w:proofErr w:type="gramStart"/>
      <w:r>
        <w:rPr>
          <w:rFonts w:ascii="Times New Roman" w:hAnsi="Times New Roman"/>
          <w:strike/>
        </w:rPr>
        <w:t xml:space="preserve">  </w:t>
      </w:r>
      <w:proofErr w:type="gramEnd"/>
      <w:r>
        <w:rPr>
          <w:rFonts w:ascii="Times New Roman" w:hAnsi="Times New Roman"/>
          <w:strike/>
        </w:rPr>
        <w:t xml:space="preserve">Os fundos de investimento poderão ultrapassar o limite de que tratam as alíneas “a” e “b” do inciso I, desde que atendam ao disposto nos </w:t>
      </w:r>
      <w:proofErr w:type="spellStart"/>
      <w:r>
        <w:rPr>
          <w:rFonts w:ascii="Times New Roman" w:hAnsi="Times New Roman"/>
          <w:strike/>
        </w:rPr>
        <w:t>arts</w:t>
      </w:r>
      <w:proofErr w:type="spellEnd"/>
      <w:r>
        <w:rPr>
          <w:rFonts w:ascii="Times New Roman" w:hAnsi="Times New Roman"/>
          <w:strike/>
        </w:rPr>
        <w:t>. 113 a 115.</w:t>
      </w:r>
    </w:p>
    <w:p w:rsidR="00B2445D" w:rsidRDefault="00B2445D" w:rsidP="00B2445D">
      <w:pPr>
        <w:pStyle w:val="NormalWeb"/>
        <w:spacing w:before="0" w:beforeAutospacing="0" w:after="0" w:afterAutospacing="0"/>
        <w:ind w:left="567" w:right="-5"/>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strike/>
        </w:rPr>
        <w:lastRenderedPageBreak/>
        <w:t>§ 2º</w:t>
      </w:r>
      <w:proofErr w:type="gramStart"/>
      <w:r>
        <w:rPr>
          <w:rFonts w:ascii="Times New Roman" w:hAnsi="Times New Roman"/>
          <w:strike/>
        </w:rPr>
        <w:t xml:space="preserve">  </w:t>
      </w:r>
      <w:proofErr w:type="gramEnd"/>
      <w:r>
        <w:rPr>
          <w:rFonts w:ascii="Times New Roman" w:hAnsi="Times New Roman"/>
          <w:strike/>
        </w:rPr>
        <w:t>As operações com derivativos incluem-se no cômputo dos limites estabelecidos para seus ativos subjacentes, observado o disposto no § 4º do art. 86.</w:t>
      </w:r>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BodyTextIndent"/>
        <w:ind w:left="0" w:firstLine="540"/>
      </w:pPr>
      <w:r>
        <w:t>§ 1º</w:t>
      </w:r>
      <w:proofErr w:type="gramStart"/>
      <w:r>
        <w:t xml:space="preserve">  </w:t>
      </w:r>
      <w:proofErr w:type="gramEnd"/>
      <w:r>
        <w:t xml:space="preserve">Os fundos de investimento poderão ultrapassar o limite de que tratam as alíneas “a”, “b” e “f” do inciso I, desde que atendam ao disposto nos </w:t>
      </w:r>
      <w:proofErr w:type="spellStart"/>
      <w:r>
        <w:t>arts</w:t>
      </w:r>
      <w:proofErr w:type="spellEnd"/>
      <w:r>
        <w:t>. 113 a 115.</w:t>
      </w:r>
    </w:p>
    <w:p w:rsidR="00B2445D" w:rsidRDefault="00B2445D" w:rsidP="00B2445D">
      <w:pPr>
        <w:pStyle w:val="BodyTextIndent"/>
        <w:ind w:left="0" w:firstLine="540"/>
      </w:pPr>
    </w:p>
    <w:p w:rsidR="00B2445D" w:rsidRDefault="00B2445D" w:rsidP="00B2445D">
      <w:pPr>
        <w:pStyle w:val="BodyTextIndent"/>
        <w:ind w:left="0" w:firstLine="540"/>
      </w:pPr>
      <w:r>
        <w:t>§ 2º</w:t>
      </w:r>
      <w:proofErr w:type="gramStart"/>
      <w:r>
        <w:t xml:space="preserve">  </w:t>
      </w:r>
      <w:proofErr w:type="gramEnd"/>
      <w:r>
        <w:t xml:space="preserve">As operações com contratos derivativos referenciados nos ativos listados no inciso I do </w:t>
      </w:r>
      <w:r>
        <w:rPr>
          <w:b/>
        </w:rPr>
        <w:t>caput</w:t>
      </w:r>
      <w:r>
        <w:t xml:space="preserve"> deste artigo incluem-se no cômputo dos limites estabelecidos para seus ativos subjacentes, observado o disposto no § 4º do art. 86.</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1º e 2º com redação dada pela Instrução CVM nº 456, de 22 de junho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 xml:space="preserve">Aplicam-se aos ativos objeto das operações compromissadas em que o fundo assuma compromisso de recompra os limites de aplicação de que trata o </w:t>
      </w:r>
      <w:r>
        <w:rPr>
          <w:rFonts w:ascii="Times New Roman" w:hAnsi="Times New Roman"/>
          <w:b/>
        </w:rPr>
        <w:t>caput</w:t>
      </w:r>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4º</w:t>
      </w:r>
      <w:proofErr w:type="gramStart"/>
      <w:r>
        <w:rPr>
          <w:rFonts w:ascii="Times New Roman" w:hAnsi="Times New Roman"/>
          <w:strike/>
        </w:rPr>
        <w:t xml:space="preserve">  </w:t>
      </w:r>
      <w:proofErr w:type="gramEnd"/>
      <w:r>
        <w:rPr>
          <w:rFonts w:ascii="Times New Roman" w:hAnsi="Times New Roman"/>
          <w:strike/>
        </w:rPr>
        <w:t xml:space="preserve">Caso a política de investimento do fundo permita a aplicação em cotas de outros fundos, o administrador deverá assegurar-se que, na consolidação das aplicações do fundo investidor com as dos fundos investidos, os limites de concentração referidos neste artigo não serão excedidos. </w:t>
      </w:r>
    </w:p>
    <w:p w:rsidR="00B2445D" w:rsidRDefault="00B2445D" w:rsidP="00B2445D">
      <w:pPr>
        <w:pStyle w:val="BodyTextIndent"/>
        <w:ind w:left="0" w:firstLine="540"/>
      </w:pPr>
    </w:p>
    <w:p w:rsidR="00B2445D" w:rsidRDefault="00B2445D" w:rsidP="00B2445D">
      <w:pPr>
        <w:pStyle w:val="NormalWeb"/>
        <w:ind w:firstLine="567"/>
        <w:jc w:val="both"/>
        <w:rPr>
          <w:rFonts w:ascii="Times New Roman" w:hAnsi="Times New Roman"/>
        </w:rPr>
      </w:pPr>
      <w:r>
        <w:rPr>
          <w:rFonts w:ascii="Times New Roman" w:hAnsi="Times New Roman"/>
        </w:rPr>
        <w:t>§ 4º Caso a política de investimento do fundo permita a aplicação em cotas de outros fundos, o administrador deverá assegurar-se de que, na consolidação das aplicações do fundo investidor com as dos fundos investidos, os limites de aplicação referidos neste artigo não serão excedidos, observado, entretanto, o disposto no art. 115-A.</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Parágrafo com redação dada pela Instrução CVM nº 456, de 22 de junho de 2007.</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87 e §§ com redação dada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IV</w:t>
      </w:r>
    </w:p>
    <w:p w:rsidR="00B2445D" w:rsidRDefault="00B2445D" w:rsidP="00B2445D">
      <w:pPr>
        <w:pStyle w:val="NormalWeb"/>
        <w:ind w:firstLine="567"/>
        <w:jc w:val="center"/>
        <w:rPr>
          <w:rFonts w:ascii="Times New Roman" w:hAnsi="Times New Roman"/>
        </w:rPr>
      </w:pPr>
      <w:r>
        <w:rPr>
          <w:rFonts w:ascii="Times New Roman" w:hAnsi="Times New Roman"/>
        </w:rPr>
        <w:t>Dos Deveres do Administrador e do Gestor quanto aos Limites de Concentração</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IV inserida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88.  Com exceção dos fundos de ações, como definidos no art. 95, o total de títulos de emissão ou com </w:t>
      </w:r>
      <w:proofErr w:type="spellStart"/>
      <w:proofErr w:type="gramStart"/>
      <w:r>
        <w:rPr>
          <w:rFonts w:ascii="Times New Roman" w:hAnsi="Times New Roman"/>
          <w:strike/>
        </w:rPr>
        <w:t>co-obrigação</w:t>
      </w:r>
      <w:proofErr w:type="spellEnd"/>
      <w:proofErr w:type="gramEnd"/>
      <w:r>
        <w:rPr>
          <w:rFonts w:ascii="Times New Roman" w:hAnsi="Times New Roman"/>
          <w:strike/>
        </w:rPr>
        <w:t xml:space="preserve"> de uma mesma pessoa jurídica, de seu controlador, de sociedades por ele direta ou indiretamente controladas e de coligadas ou outras sociedades sob controle comum, bem como de um mesmo estado, município, ou pessoa física não pode exceder 10% (dez por cento) do patrimônio líquido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88.  Com exceção dos fundos de ações, como definidos no art. 95, o total de títulos, ativos financeiros e modalidades operacionais de emissão ou com </w:t>
      </w:r>
      <w:proofErr w:type="spellStart"/>
      <w:proofErr w:type="gramStart"/>
      <w:r>
        <w:rPr>
          <w:rFonts w:ascii="Times New Roman" w:hAnsi="Times New Roman"/>
          <w:strike/>
        </w:rPr>
        <w:t>co-obrigação</w:t>
      </w:r>
      <w:proofErr w:type="spellEnd"/>
      <w:proofErr w:type="gramEnd"/>
      <w:r>
        <w:rPr>
          <w:rFonts w:ascii="Times New Roman" w:hAnsi="Times New Roman"/>
          <w:strike/>
        </w:rPr>
        <w:t xml:space="preserve"> de uma mesma pessoa jurídica, de seu controlador, de sociedades por ele direta ou indiretamente controladas e de coligadas ou outras sociedades sob controle comum, bem como de um mesmo estado, município, ou pessoa física não pode exceder 10% (dez por cento) do patrimônio líquido do fundo.</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35"/>
        </w:numPr>
        <w:ind w:left="0" w:firstLine="567"/>
        <w:jc w:val="both"/>
        <w:rPr>
          <w:rFonts w:ascii="Times New Roman" w:hAnsi="Times New Roman"/>
          <w:b/>
          <w:strike/>
        </w:rPr>
      </w:pPr>
      <w:r>
        <w:rPr>
          <w:rFonts w:ascii="Times New Roman" w:hAnsi="Times New Roman"/>
          <w:b/>
          <w:strike/>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O total de emissão ou </w:t>
      </w:r>
      <w:proofErr w:type="spellStart"/>
      <w:r>
        <w:rPr>
          <w:rFonts w:ascii="Times New Roman" w:hAnsi="Times New Roman"/>
          <w:strike/>
        </w:rPr>
        <w:t>co-obrigação</w:t>
      </w:r>
      <w:proofErr w:type="spellEnd"/>
      <w:r>
        <w:rPr>
          <w:rFonts w:ascii="Times New Roman" w:hAnsi="Times New Roman"/>
          <w:strike/>
        </w:rPr>
        <w:t xml:space="preserve"> de uma mesma instituição financeira, de seu controlador, de sociedades por ele(a) direta ou indiretamente controladas e de suas coligadas sob controle comum pode exceder o percentual referido no caput, observado o máximo de 20% (vinte por cento) do patrimônio líquido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O total de emissão ou </w:t>
      </w:r>
      <w:proofErr w:type="spellStart"/>
      <w:r>
        <w:rPr>
          <w:rFonts w:ascii="Times New Roman" w:hAnsi="Times New Roman"/>
          <w:strike/>
        </w:rPr>
        <w:t>co-obrigação</w:t>
      </w:r>
      <w:proofErr w:type="spellEnd"/>
      <w:r>
        <w:rPr>
          <w:rFonts w:ascii="Times New Roman" w:hAnsi="Times New Roman"/>
          <w:strike/>
        </w:rPr>
        <w:t xml:space="preserve"> de uma mesma instituição financeira, de seu controlador, de sociedades por qualquer deles direta ou indiretamente controladas e de suas </w:t>
      </w:r>
      <w:r>
        <w:rPr>
          <w:rFonts w:ascii="Times New Roman" w:hAnsi="Times New Roman"/>
          <w:strike/>
        </w:rPr>
        <w:lastRenderedPageBreak/>
        <w:t>coligadas ou sociedades sob controle comum pode exceder o percentual referido no caput, observado o máximo de 20% (vinte por cento) do patrimônio líquido do fundo.</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b/>
          <w:strike/>
        </w:rPr>
        <w:t>§1º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Excluem-se do limite disposto no caput as aplicações em títulos públicos federais e a realização de operações compromissadas lastreadas nos referidos títulos.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O limite referido neste artigo deve ser cumprido diariamente, com base no patrimônio líquido do fundo do dia útil imediatamente anterior.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88.  O administrador e o gestor respondem pela inobservância dos limites de concentração por emissor e por modalidade de ativo financeiro, de composição e concentração de carteira, e de concentração em fator de risco, estabelecidos nesta Instrução e no Regulamento.</w:t>
      </w:r>
    </w:p>
    <w:p w:rsidR="00B2445D" w:rsidRDefault="00B2445D" w:rsidP="00B2445D">
      <w:pPr>
        <w:pStyle w:val="NormalWeb"/>
        <w:ind w:firstLine="567"/>
        <w:jc w:val="both"/>
        <w:rPr>
          <w:rFonts w:ascii="Times New Roman" w:hAnsi="Times New Roman"/>
          <w:highlight w:val="yellow"/>
        </w:rPr>
      </w:pPr>
    </w:p>
    <w:p w:rsidR="00B2445D" w:rsidRDefault="00B2445D" w:rsidP="00B2445D">
      <w:pPr>
        <w:ind w:firstLine="567"/>
        <w:jc w:val="both"/>
        <w:rPr>
          <w:lang w:val="pt-PT"/>
        </w:rPr>
      </w:pPr>
      <w:r>
        <w:rPr>
          <w:lang w:val="pt-PT"/>
        </w:rPr>
        <w:t>§1º</w:t>
      </w:r>
      <w:proofErr w:type="gramStart"/>
      <w:r>
        <w:rPr>
          <w:lang w:val="pt-PT"/>
        </w:rPr>
        <w:t xml:space="preserve">  </w:t>
      </w:r>
      <w:proofErr w:type="gramEnd"/>
      <w:r>
        <w:rPr>
          <w:lang w:val="pt-PT"/>
        </w:rPr>
        <w:t>Sem prejuízo da responsabilidade do gestor, o administrador deverá informá-lo, e à CVM, da ocorrência de desenquadramento, até final do dia seguinte à data do desenquadramento.</w:t>
      </w:r>
    </w:p>
    <w:p w:rsidR="00B2445D" w:rsidRDefault="00B2445D" w:rsidP="00B2445D">
      <w:pPr>
        <w:ind w:firstLine="567"/>
        <w:jc w:val="both"/>
        <w:rPr>
          <w:lang w:val="pt-PT"/>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Os limites referidos nos </w:t>
      </w:r>
      <w:proofErr w:type="spellStart"/>
      <w:r>
        <w:rPr>
          <w:rFonts w:ascii="Times New Roman" w:hAnsi="Times New Roman"/>
        </w:rPr>
        <w:t>arts</w:t>
      </w:r>
      <w:proofErr w:type="spellEnd"/>
      <w:r>
        <w:rPr>
          <w:rFonts w:ascii="Times New Roman" w:hAnsi="Times New Roman"/>
        </w:rPr>
        <w:t>. 86 e 87, ou estabelecidos no regulamento, devem ser cumpridos diariamente, com base no patrimônio líquido do fundo do dia útil imediatamente anterior.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 xml:space="preserve">O regulamento pode reduzir, mas não pode aumentar, os limites máximos estabelecidos nos </w:t>
      </w:r>
      <w:proofErr w:type="spellStart"/>
      <w:r>
        <w:rPr>
          <w:rFonts w:ascii="Times New Roman" w:hAnsi="Times New Roman"/>
        </w:rPr>
        <w:t>arts</w:t>
      </w:r>
      <w:proofErr w:type="spellEnd"/>
      <w:r>
        <w:rPr>
          <w:rFonts w:ascii="Times New Roman" w:hAnsi="Times New Roman"/>
        </w:rPr>
        <w:t xml:space="preserve">. 86 e 87 desta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4º</w:t>
      </w:r>
      <w:proofErr w:type="gramStart"/>
      <w:r>
        <w:rPr>
          <w:rFonts w:ascii="Times New Roman" w:hAnsi="Times New Roman"/>
        </w:rPr>
        <w:t xml:space="preserve">  </w:t>
      </w:r>
      <w:proofErr w:type="gramEnd"/>
      <w:r>
        <w:rPr>
          <w:rFonts w:ascii="Times New Roman" w:hAnsi="Times New Roman"/>
        </w:rPr>
        <w:t>O administrador e o gestor deverão acompanhar diariamente o enquadramento aos limites estabelecidos nesta Instrução e o fator de risco da carteira do fundo, de forma a manter a classe adotada no regulamento e a política de investimento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Entende-se por principal fator de risco de um fundo o índice de preços, a taxa de juros, o índice de ações, ou o preço do ativo cuja variação produza, potencialmente, maiores efeitos sobre o valor de mercado da carteira do fundo.</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Art. 88 e §§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89.  O administrador e o gestor não estão sujeitos às penalidades aplicáveis pelo descumprimento dos limites de concentração e diversificação de carteira, e concentração de risco, definidos no regulamento de investimento e na legislação vigente, quando o descumprimento for causado por </w:t>
      </w:r>
      <w:proofErr w:type="spellStart"/>
      <w:r>
        <w:rPr>
          <w:rFonts w:ascii="Times New Roman" w:hAnsi="Times New Roman"/>
        </w:rPr>
        <w:t>desenquadramento</w:t>
      </w:r>
      <w:proofErr w:type="spellEnd"/>
      <w:r>
        <w:rPr>
          <w:rFonts w:ascii="Times New Roman" w:hAnsi="Times New Roman"/>
        </w:rPr>
        <w:t xml:space="preserve"> passivo, decorrente de fatos exógenos e alheios à sua vontade, que causem alterações imprevisíveis e significativas no patrimônio líquido do fundo ou nas condições gerais do mercado de capitais, desde que tal </w:t>
      </w:r>
      <w:proofErr w:type="spellStart"/>
      <w:r>
        <w:rPr>
          <w:rFonts w:ascii="Times New Roman" w:hAnsi="Times New Roman"/>
        </w:rPr>
        <w:t>desenquadramento</w:t>
      </w:r>
      <w:proofErr w:type="spellEnd"/>
      <w:r>
        <w:rPr>
          <w:rFonts w:ascii="Times New Roman" w:hAnsi="Times New Roman"/>
        </w:rPr>
        <w:t xml:space="preserve"> não ultrapasse o prazo máximo de 15 (quinze) dias consecutivos e não implique alteração do tratamento tributário conferido ao fundo ou aos cotistas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administrador deve comunicar à CVM, depois de ultrapassado o prazo de 15 (quinze) dias referido no caput, a ocorrência de </w:t>
      </w:r>
      <w:proofErr w:type="spellStart"/>
      <w:r>
        <w:rPr>
          <w:rFonts w:ascii="Times New Roman" w:hAnsi="Times New Roman"/>
        </w:rPr>
        <w:t>desenquadramento</w:t>
      </w:r>
      <w:proofErr w:type="spellEnd"/>
      <w:r>
        <w:rPr>
          <w:rFonts w:ascii="Times New Roman" w:hAnsi="Times New Roman"/>
        </w:rPr>
        <w:t>, com as devidas justificativas, informando ainda o reenquadramento da carteira, no momento em que ocorrer.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90.  Caso a CVM constate que o descumprimento dos limites de composição, diversificação de carteira e concentração de </w:t>
      </w:r>
      <w:proofErr w:type="gramStart"/>
      <w:r>
        <w:rPr>
          <w:rFonts w:ascii="Times New Roman" w:hAnsi="Times New Roman"/>
        </w:rPr>
        <w:t>risco definidos nas diferentes</w:t>
      </w:r>
      <w:proofErr w:type="gramEnd"/>
      <w:r>
        <w:rPr>
          <w:rFonts w:ascii="Times New Roman" w:hAnsi="Times New Roman"/>
        </w:rPr>
        <w:t xml:space="preserve"> classes de fundos de investimento, estendeu-se por período superior ao do prazo previsto no art. 89, poderá determinar ao administrador, sem prejuízo das penalidades cabíveis, a convocação de </w:t>
      </w:r>
      <w:proofErr w:type="spellStart"/>
      <w:r>
        <w:rPr>
          <w:rFonts w:ascii="Times New Roman" w:hAnsi="Times New Roman"/>
        </w:rPr>
        <w:t>assembléia</w:t>
      </w:r>
      <w:proofErr w:type="spellEnd"/>
      <w:r>
        <w:rPr>
          <w:rFonts w:ascii="Times New Roman" w:hAnsi="Times New Roman"/>
        </w:rPr>
        <w:t xml:space="preserve"> geral de cotistas para decidir sobre uma das seguintes alternativas: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transferência da administração ou da gestão do fundo, ou de ambas;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incorporação a outro fundo, </w:t>
      </w:r>
      <w:proofErr w:type="gramStart"/>
      <w:r>
        <w:rPr>
          <w:rFonts w:ascii="Times New Roman" w:hAnsi="Times New Roman"/>
        </w:rPr>
        <w:t>ou</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liquidação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91.  A aquisição de cotas de outros fundos de investimento pelos fundos de investimento regulados por esta Instrução será permitida nos seguintes casos: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a aquisição de cotas de fundos de investimento e de fundos de investimento em cotas de fundo de investimento pelos fundos de investimento em cotas regulamentados no Capítulo XIII, observado o disposto no § 3º do art. 114;</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a aquisição de cotas de fundos de investimento e de fundos de investimento em cotas de fundo de investimento pelos fundos de investimento em cotas regulamentados no Capítulo XIII, observado o disposto no § 4º do art. 112;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36"/>
        </w:numPr>
        <w:jc w:val="both"/>
        <w:rPr>
          <w:rFonts w:ascii="Times New Roman" w:hAnsi="Times New Roman"/>
          <w:b/>
          <w:strike/>
        </w:rPr>
      </w:pPr>
      <w:r>
        <w:rPr>
          <w:rFonts w:ascii="Times New Roman" w:hAnsi="Times New Roman"/>
          <w:b/>
          <w:strike/>
        </w:rPr>
        <w:t xml:space="preserve">Inciso I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a aquisição de cotas de fundos de investimento imobiliário, fundo de investimento em direitos creditórios e fundos de investimento em cotas de fundos de investimento em direitos creditórios, até o limite de 10% de seu patrimônio líquido, pelos fundos de investimento e fundos de investimento em cotas classificados como "Renda Fixa" e "Multimercado", desde que previsto expressamente no regulamento e prospecto;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III – a aquisição de cotas de fundos de investimento regulados por esta Instrução, até o limite, por cada fundo investido, de 10% do patrimônio líquido do fundo investidor, desde que previsto expressamente no regulamento e no prospecto.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  O fundo que adquirir cotas de outros fundos deverá estabelecer em seu regulamento que a taxa de administração cobrada pelo administrador compreende a taxa de administração dos Fundos de Investimento em que ele invista.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O limite previsto no inciso III deste artigo não se aplica aos fundos de investimento classificados como "Dívida Externa".</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37"/>
        </w:numPr>
        <w:ind w:left="0" w:firstLine="567"/>
        <w:jc w:val="both"/>
        <w:rPr>
          <w:rFonts w:ascii="Times New Roman" w:hAnsi="Times New Roman"/>
          <w:b/>
          <w:strike/>
        </w:rPr>
      </w:pPr>
      <w:r>
        <w:rPr>
          <w:rFonts w:ascii="Times New Roman" w:hAnsi="Times New Roman"/>
          <w:b/>
          <w:strike/>
        </w:rPr>
        <w:t>§1º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Os fundos de investimento classificados como "Longo Prazo", conforme a definição constante do parágrafo único do art. 92, somente podem investir em cotas de fundos de investimento também classificados como "Longo Prazo".</w:t>
      </w:r>
    </w:p>
    <w:p w:rsidR="00B2445D" w:rsidRDefault="00B2445D" w:rsidP="00B2445D">
      <w:pPr>
        <w:pStyle w:val="NormalWeb"/>
        <w:jc w:val="both"/>
        <w:rPr>
          <w:rFonts w:ascii="Times New Roman" w:hAnsi="Times New Roman"/>
          <w:strike/>
        </w:rPr>
      </w:pPr>
    </w:p>
    <w:p w:rsidR="00B2445D" w:rsidRDefault="00B2445D" w:rsidP="00B2445D">
      <w:pPr>
        <w:pStyle w:val="NormalWeb"/>
        <w:numPr>
          <w:ilvl w:val="0"/>
          <w:numId w:val="38"/>
        </w:numPr>
        <w:ind w:left="0" w:firstLine="567"/>
        <w:jc w:val="both"/>
        <w:rPr>
          <w:rFonts w:ascii="Times New Roman" w:hAnsi="Times New Roman"/>
          <w:b/>
          <w:strike/>
        </w:rPr>
      </w:pPr>
      <w:r>
        <w:rPr>
          <w:rFonts w:ascii="Times New Roman" w:hAnsi="Times New Roman"/>
          <w:b/>
          <w:strike/>
        </w:rPr>
        <w:t>§3º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91.  Quando de sua constituição, o fundo terá os seguintes prazos máximos para atingir os limites de concentração por emissor e por </w:t>
      </w:r>
      <w:proofErr w:type="gramStart"/>
      <w:r>
        <w:rPr>
          <w:rFonts w:ascii="Times New Roman" w:hAnsi="Times New Roman"/>
        </w:rPr>
        <w:t>modalidade de ativo estabelecidos em seu regulamento</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60 (sessenta) dias, a contar da data da primeira integralização de cotas, para os fundos abertos;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180 (cento e oitenta) dias, a contar da data de encerramento da distribuição, para os fundos fechados.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lastRenderedPageBreak/>
        <w:t xml:space="preserve">Art. 91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strike/>
        </w:rPr>
      </w:pPr>
      <w:r>
        <w:rPr>
          <w:rFonts w:ascii="Times New Roman" w:hAnsi="Times New Roman"/>
          <w:strike/>
        </w:rPr>
        <w:t>Seção II</w:t>
      </w:r>
    </w:p>
    <w:p w:rsidR="00B2445D" w:rsidRDefault="00B2445D" w:rsidP="00B2445D">
      <w:pPr>
        <w:pStyle w:val="NormalWeb"/>
        <w:ind w:firstLine="567"/>
        <w:jc w:val="center"/>
        <w:rPr>
          <w:rFonts w:ascii="Times New Roman" w:hAnsi="Times New Roman"/>
          <w:strike/>
        </w:rPr>
      </w:pPr>
      <w:r>
        <w:rPr>
          <w:rFonts w:ascii="Times New Roman" w:hAnsi="Times New Roman"/>
          <w:strike/>
        </w:rPr>
        <w:t>Da Classificação dos Fundos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V</w:t>
      </w:r>
    </w:p>
    <w:p w:rsidR="00B2445D" w:rsidRDefault="00B2445D" w:rsidP="00B2445D">
      <w:pPr>
        <w:pStyle w:val="NormalWeb"/>
        <w:ind w:firstLine="567"/>
        <w:jc w:val="center"/>
        <w:rPr>
          <w:rFonts w:ascii="Times New Roman" w:hAnsi="Times New Roman"/>
        </w:rPr>
      </w:pPr>
      <w:r>
        <w:rPr>
          <w:rFonts w:ascii="Times New Roman" w:hAnsi="Times New Roman"/>
        </w:rPr>
        <w:t>Da Classificação dos Fundos</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Seção V renumerada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92.  Os fundos de investimento e os fundos de investimento em cotas, conforme a composição de seu patrimônio</w:t>
      </w:r>
      <w:proofErr w:type="gramStart"/>
      <w:r>
        <w:rPr>
          <w:rFonts w:ascii="Times New Roman" w:hAnsi="Times New Roman"/>
          <w:strike/>
        </w:rPr>
        <w:t>, classificam-se</w:t>
      </w:r>
      <w:proofErr w:type="gramEnd"/>
      <w:r>
        <w:rPr>
          <w:rFonts w:ascii="Times New Roman" w:hAnsi="Times New Roman"/>
          <w:strike/>
        </w:rPr>
        <w:t xml:space="preserve"> 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92.  Quanto à composição de sua carteira, os fundos de investimento e os fundos de investimento em cotas, classificam-se em:</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Caput do art. 92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Fundo de Curto Prazo;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Fundo Referenciado;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III – Fundo de Renda Fixa;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Fundo de Ações;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Fundo Cambial;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Fundo de Dívida Externa;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Fundo Multimercado.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Os fundos classificados como "Referenciado", "Renda Fixa", "Cambial", "Dívida Externa" e "Multimercado" poderão ser adicionalmente classificados como "Longo Prazo" quando o prazo médio de sua carteira supere 365 (trezentos e sessenta e cinco) dias e seja composta por títulos privados ou públicos federais, pré-fixados ou indexados à taxa SELIC ou a outra taxa de juros, a índices de preço ou à variação cambial, ou, ainda, por operações compromissadas lastreadas nos títulos públicos federais referidos neste parágrafo.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Os fundos classificados como "Referenciado", "Renda Fixa", "Cambial", "Dívida Externa" e "Multimercado" poderão ser adicionalmente classificados como "Longo Prazo" quando o prazo médio de sua carteira supere 365 (trezentos e sessenta e cinco) dias e seja composta por títulos privados ou públicos federais, pré-fixados ou indexados à taxa SELIC ou a outra taxa de juros, a índices de preço ou à variação cambial, ou, ainda, por operações compromissadas lastreadas nos títulos públicos federais referidos neste parágrafo, sempre observado o disposto no § 3º do art. 91.</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jc w:val="both"/>
        <w:rPr>
          <w:rFonts w:ascii="Times New Roman" w:hAnsi="Times New Roman"/>
          <w:b/>
          <w:strike/>
        </w:rPr>
      </w:pPr>
      <w:r>
        <w:rPr>
          <w:rFonts w:ascii="Times New Roman" w:hAnsi="Times New Roman"/>
          <w:b/>
          <w:strike/>
        </w:rPr>
        <w:t xml:space="preserve">Parágrafo único 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NormalWeb"/>
        <w:ind w:firstLine="360"/>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O fundo classificado como “Referenciado”, “Renda Fixa”, “Cambial”, “Dívida Externa” ou “Multimercado” que dispuser, em seu regulamento ou prospecto, que tem o compromisso de obter o tratamento fiscal destinado a fundos de longo prazo previsto na regulamentação fiscal vigente estará obrigado a:</w:t>
      </w:r>
    </w:p>
    <w:p w:rsidR="00B2445D" w:rsidRDefault="00B2445D" w:rsidP="00B2445D">
      <w:pPr>
        <w:pStyle w:val="NormalWeb"/>
        <w:ind w:firstLine="360"/>
        <w:jc w:val="both"/>
        <w:rPr>
          <w:rFonts w:ascii="Times New Roman" w:hAnsi="Times New Roman"/>
        </w:rPr>
      </w:pPr>
    </w:p>
    <w:p w:rsidR="00B2445D" w:rsidRDefault="00B2445D" w:rsidP="00B2445D">
      <w:pPr>
        <w:pStyle w:val="NormalWeb"/>
        <w:ind w:firstLine="360"/>
        <w:jc w:val="both"/>
        <w:rPr>
          <w:rFonts w:ascii="Times New Roman" w:hAnsi="Times New Roman"/>
        </w:rPr>
      </w:pPr>
      <w:r>
        <w:rPr>
          <w:rFonts w:ascii="Times New Roman" w:hAnsi="Times New Roman"/>
        </w:rPr>
        <w:t xml:space="preserve">I – incluir a expressão “Longo Prazo” na denominação do fundo; </w:t>
      </w:r>
      <w:proofErr w:type="gramStart"/>
      <w:r>
        <w:rPr>
          <w:rFonts w:ascii="Times New Roman" w:hAnsi="Times New Roman"/>
        </w:rPr>
        <w:t>e</w:t>
      </w:r>
      <w:proofErr w:type="gramEnd"/>
    </w:p>
    <w:p w:rsidR="00B2445D" w:rsidRDefault="00B2445D" w:rsidP="00B2445D">
      <w:pPr>
        <w:pStyle w:val="NormalWeb"/>
        <w:ind w:firstLine="360"/>
        <w:jc w:val="both"/>
        <w:rPr>
          <w:rFonts w:ascii="Times New Roman" w:hAnsi="Times New Roman"/>
        </w:rPr>
      </w:pPr>
    </w:p>
    <w:p w:rsidR="00B2445D" w:rsidRDefault="00B2445D" w:rsidP="00B2445D">
      <w:pPr>
        <w:pStyle w:val="NormalWeb"/>
        <w:ind w:firstLine="360"/>
        <w:jc w:val="both"/>
        <w:rPr>
          <w:rFonts w:ascii="Times New Roman" w:hAnsi="Times New Roman"/>
        </w:rPr>
      </w:pPr>
      <w:r>
        <w:rPr>
          <w:rFonts w:ascii="Times New Roman" w:hAnsi="Times New Roman"/>
        </w:rPr>
        <w:t xml:space="preserve">II – atender às condições previstas na referida regulamentação de forma a obter o referido tratamento fiscal. </w:t>
      </w:r>
    </w:p>
    <w:p w:rsidR="00B2445D" w:rsidRDefault="00B2445D" w:rsidP="00B2445D">
      <w:pPr>
        <w:pStyle w:val="NormalWeb"/>
        <w:ind w:firstLine="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§1º com redação dada pela CVM nº 450, de 30 de março de 2007.</w:t>
      </w:r>
    </w:p>
    <w:p w:rsidR="00B2445D" w:rsidRDefault="00B2445D" w:rsidP="00B2445D">
      <w:pPr>
        <w:pStyle w:val="NormalWeb"/>
        <w:jc w:val="both"/>
        <w:rPr>
          <w:rFonts w:ascii="Times New Roman" w:hAnsi="Times New Roman"/>
        </w:rPr>
      </w:pPr>
    </w:p>
    <w:p w:rsidR="00B2445D" w:rsidRDefault="00B2445D" w:rsidP="00B2445D">
      <w:pPr>
        <w:pStyle w:val="NormalWeb"/>
        <w:ind w:firstLine="360"/>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fundo que mencionar ou sugerir, em seu regulamento, prospecto ou em qualquer outro material de divulgação, que tentará obter o tratamento fiscal previsto para fundos de longo prazo, mas sem assumir o compromisso de atingir esse objetivo, ou que irá fazê-lo apenas quando considerar conveniente para o fundo, deverá incluir no prospecto e em seu material de  divulgação, em destaque, a seguinte advertência: “Não há garantia de que este fundo terá o tratamento tributário para fundos de longo prazo”.</w:t>
      </w: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§2º com redação dada pela CVM nº 450, de 30 de março de 2007.</w:t>
      </w:r>
    </w:p>
    <w:p w:rsidR="00B2445D" w:rsidRDefault="00B2445D" w:rsidP="00B2445D">
      <w:pPr>
        <w:pStyle w:val="NormalWeb"/>
        <w:ind w:firstLine="360"/>
        <w:jc w:val="both"/>
        <w:rPr>
          <w:rFonts w:ascii="Times New Roman" w:hAnsi="Times New Roman"/>
        </w:rPr>
      </w:pPr>
    </w:p>
    <w:p w:rsidR="00B2445D" w:rsidRDefault="00B2445D" w:rsidP="00B2445D">
      <w:pPr>
        <w:pStyle w:val="NormalWeb"/>
        <w:ind w:firstLine="360"/>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A expressão “Longo Prazo” ou similar é privativa dos fundos que atendam ao disposto no § 1º deste artigo, sendo vedada a utilização de termos, abreviaturas ou expressões semelhantes na denominação dos fundos que não atendam ao disposto no referido parágrafo.</w:t>
      </w:r>
    </w:p>
    <w:p w:rsidR="00B2445D" w:rsidRDefault="00B2445D" w:rsidP="00B2445D">
      <w:pPr>
        <w:pStyle w:val="NormalWeb"/>
        <w:ind w:firstLine="360"/>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§3º com redação dada pela CVM nº 450, de 30 de março de 2007.</w:t>
      </w:r>
    </w:p>
    <w:p w:rsidR="00B2445D" w:rsidRDefault="00B2445D" w:rsidP="00B2445D">
      <w:pPr>
        <w:pStyle w:val="NormalWeb"/>
        <w:ind w:firstLine="360"/>
        <w:jc w:val="both"/>
        <w:rPr>
          <w:rFonts w:ascii="Times New Roman" w:hAnsi="Times New Roman"/>
        </w:rPr>
      </w:pPr>
    </w:p>
    <w:p w:rsidR="00B2445D" w:rsidRDefault="00B2445D" w:rsidP="00B2445D">
      <w:pPr>
        <w:pStyle w:val="NormalWeb"/>
        <w:ind w:left="1077"/>
        <w:jc w:val="center"/>
        <w:rPr>
          <w:rFonts w:ascii="Times New Roman" w:hAnsi="Times New Roman"/>
        </w:rPr>
      </w:pPr>
      <w:r>
        <w:rPr>
          <w:rFonts w:ascii="Times New Roman" w:hAnsi="Times New Roman"/>
        </w:rPr>
        <w:lastRenderedPageBreak/>
        <w:t>Subseção I</w:t>
      </w:r>
    </w:p>
    <w:p w:rsidR="00B2445D" w:rsidRDefault="00B2445D" w:rsidP="00B2445D">
      <w:pPr>
        <w:pStyle w:val="NormalWeb"/>
        <w:ind w:left="1077"/>
        <w:jc w:val="center"/>
        <w:rPr>
          <w:rFonts w:ascii="Times New Roman" w:hAnsi="Times New Roman"/>
        </w:rPr>
      </w:pPr>
      <w:r>
        <w:rPr>
          <w:rFonts w:ascii="Times New Roman" w:hAnsi="Times New Roman"/>
        </w:rPr>
        <w:t>Dos Fundos Curto Prazo</w:t>
      </w:r>
    </w:p>
    <w:p w:rsidR="00B2445D" w:rsidRDefault="00B2445D" w:rsidP="00B2445D">
      <w:pPr>
        <w:pStyle w:val="NormalWeb"/>
        <w:ind w:left="1077"/>
        <w:jc w:val="center"/>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Subseção I inserida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93.  Os fundos classificados como "Curto Prazo" deverão aplicar seus recursos exclusivamente em títulos públicos federais pré-fixados ou indexados à taxa SELIC ou a outra taxa de juros, ou títulos indexados a índices de preços, com prazo máximo a decorrer de 375 (trezentos e setenta e cinco) dias, e prazo médio da carteira do fundo inferior a 60 (sessenta) dias, sendo permitida a utilização de derivativos somente para proteção da carteira e a realização de operações compromissadas lastreadas em títulos públicos federais.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93.  Os fundos classificados como "Curto Prazo" deverão aplicar seus recursos exclusivamente em títulos públicos federais ou privados pré-fixados ou indexados à taxa SELIC ou a outra taxa de juros, ou títulos indexados a índices de preços, com prazo máximo a decorrer de 375 (trezentos e setenta e cinco) dias, e prazo médio da carteira do fundo inferior a 60 (sessenta) dias, sendo permitida a utilização de derivativos somente para proteção da carteira e a realização de operações compromissadas lastreadas em títulos públicos federais.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39"/>
        </w:numPr>
        <w:ind w:left="0" w:firstLine="567"/>
        <w:jc w:val="both"/>
        <w:rPr>
          <w:rFonts w:ascii="Times New Roman" w:hAnsi="Times New Roman"/>
          <w:b/>
        </w:rPr>
      </w:pPr>
      <w:r>
        <w:rPr>
          <w:rFonts w:ascii="Times New Roman" w:hAnsi="Times New Roman"/>
          <w:b/>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Os títulos privados referidos no caput deverão ter seu emissor classificado na categoria baixo risco de crédito ou equivalente, com certificação por agência de classificação de risco localizada no País.</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40"/>
        </w:numPr>
        <w:ind w:left="0" w:firstLine="567"/>
        <w:jc w:val="both"/>
        <w:rPr>
          <w:rFonts w:ascii="Times New Roman" w:hAnsi="Times New Roman"/>
          <w:b/>
          <w:strike/>
        </w:rPr>
      </w:pPr>
      <w:r>
        <w:rPr>
          <w:rFonts w:ascii="Times New Roman" w:hAnsi="Times New Roman"/>
          <w:b/>
          <w:strike/>
        </w:rPr>
        <w:t>§1º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1º</w:t>
      </w:r>
      <w:proofErr w:type="gramStart"/>
      <w:r>
        <w:rPr>
          <w:rFonts w:ascii="Times New Roman" w:hAnsi="Times New Roman"/>
        </w:rPr>
        <w:t xml:space="preserve">  </w:t>
      </w:r>
      <w:proofErr w:type="gramEnd"/>
      <w:r>
        <w:rPr>
          <w:rFonts w:ascii="Times New Roman" w:hAnsi="Times New Roman"/>
        </w:rPr>
        <w:t xml:space="preserve">Os títulos privados referidos no caput </w:t>
      </w:r>
      <w:bookmarkStart w:id="157" w:name="_DV_C205"/>
      <w:r>
        <w:rPr>
          <w:rFonts w:ascii="Times New Roman" w:hAnsi="Times New Roman"/>
        </w:rPr>
        <w:t>devem ser considerados de</w:t>
      </w:r>
      <w:bookmarkStart w:id="158" w:name="_DV_M663"/>
      <w:bookmarkEnd w:id="157"/>
      <w:bookmarkEnd w:id="158"/>
      <w:r>
        <w:rPr>
          <w:rFonts w:ascii="Times New Roman" w:hAnsi="Times New Roman"/>
        </w:rPr>
        <w:t xml:space="preserve"> baixo risco de crédito </w:t>
      </w:r>
      <w:bookmarkStart w:id="159" w:name="_DV_C207"/>
      <w:r>
        <w:rPr>
          <w:rFonts w:ascii="Times New Roman" w:hAnsi="Times New Roman"/>
        </w:rPr>
        <w:t>pelo administrador e pelo gestor</w:t>
      </w:r>
      <w:bookmarkStart w:id="160" w:name="_DV_M664"/>
      <w:bookmarkEnd w:id="159"/>
      <w:bookmarkEnd w:id="160"/>
      <w:r>
        <w:rPr>
          <w:rFonts w:ascii="Times New Roman" w:hAnsi="Times New Roman"/>
        </w:rPr>
        <w:t>.</w:t>
      </w:r>
    </w:p>
    <w:p w:rsidR="00B2445D" w:rsidRDefault="00B2445D" w:rsidP="00B2445D">
      <w:pPr>
        <w:pStyle w:val="NormalWeb"/>
        <w:ind w:left="540"/>
        <w:jc w:val="both"/>
        <w:rPr>
          <w:rFonts w:ascii="Times New Roman" w:hAnsi="Times New Roman"/>
          <w:b/>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§1º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Nos fundos a que se refere o caput observar-se-á o seguinte: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na emissão das cotas poderá ser utilizado valor de cota diferente do previsto no art. 14, para fins de emissão de cotas no mesmo dia da disponibilidade financeira dos recursos, segundo dispuser o regulamento;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na conversão de cotas poderá ser utilizado valor de cota diferente do previsto no art. 15, II, para fins de resgate no mesmo dia do pedido, segundo dispuser o regulamento;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é vedada a cobrança de taxa de </w:t>
      </w:r>
      <w:proofErr w:type="gramStart"/>
      <w:r>
        <w:rPr>
          <w:rFonts w:ascii="Times New Roman" w:hAnsi="Times New Roman"/>
          <w:strike/>
        </w:rPr>
        <w:t>performance</w:t>
      </w:r>
      <w:proofErr w:type="gramEnd"/>
      <w:r>
        <w:rPr>
          <w:rFonts w:ascii="Times New Roman" w:hAnsi="Times New Roman"/>
          <w:strike/>
        </w:rPr>
        <w:t xml:space="preserve">, salvo quando se tratar de fundo destinado a investidor qualificado.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Nos fundos a que se refere o caput observar-se-á o seguinte: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na emissão das cotas poderá ser utilizado valor de cota apurado de acordo com o disposto no § 3º do art. 10, para fins de emissão de cotas no mesmo dia da disponibilidade financeira dos recursos, segundo dispuser 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na conversão de cotas poderá ser utilizado valor de cota apurado de acordo com o disposto no § 3º do art. 10, para fins de resgate no mesmo dia do pedido, segundo dispuser 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é vedada a cobrança de taxa de </w:t>
      </w:r>
      <w:proofErr w:type="gramStart"/>
      <w:r>
        <w:rPr>
          <w:rFonts w:ascii="Times New Roman" w:hAnsi="Times New Roman"/>
        </w:rPr>
        <w:t>performance</w:t>
      </w:r>
      <w:proofErr w:type="gramEnd"/>
      <w:r>
        <w:rPr>
          <w:rFonts w:ascii="Times New Roman" w:hAnsi="Times New Roman"/>
        </w:rPr>
        <w:t xml:space="preserve">, salvo quando se tratar de fundo destinado a investidor qualificado. </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41"/>
        </w:numPr>
        <w:ind w:left="0" w:firstLine="567"/>
        <w:jc w:val="both"/>
        <w:rPr>
          <w:rFonts w:ascii="Times New Roman" w:hAnsi="Times New Roman"/>
          <w:b/>
        </w:rPr>
      </w:pPr>
      <w:r>
        <w:rPr>
          <w:rFonts w:ascii="Times New Roman" w:hAnsi="Times New Roman"/>
          <w:b/>
        </w:rPr>
        <w:t xml:space="preserve">Primitivo parágrafo único renumerado para § 2º,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Subseção II</w:t>
      </w:r>
    </w:p>
    <w:p w:rsidR="00B2445D" w:rsidRDefault="00B2445D" w:rsidP="00B2445D">
      <w:pPr>
        <w:pStyle w:val="NormalWeb"/>
        <w:ind w:firstLine="567"/>
        <w:jc w:val="center"/>
        <w:rPr>
          <w:rFonts w:ascii="Times New Roman" w:hAnsi="Times New Roman"/>
        </w:rPr>
      </w:pPr>
      <w:r>
        <w:rPr>
          <w:rFonts w:ascii="Times New Roman" w:hAnsi="Times New Roman"/>
        </w:rPr>
        <w:t>Dos Fundos Referenciados</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Subseção II inserida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94.  Os fundos classificados como "Referenciados" devem identificar em sua denominação o seu indicador de desempenho, em função da estrutura dos ativos financeiros integrantes das respectivas carteiras, desde que atendidas, cumulativamente, as seguintes condições:</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94.  Os fundos classificados como "Referenciados" deverão identificar em sua denominação o seu indicador de desempenho, em função da estrutura dos ativos financeiros integrantes das respectivas carteiras, desde que atendidas, cumulativamente, as seguintes condições: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Caput do art. 94 com a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I – tenham 80% (oitenta por cento), no mínimo, de seu patrimônio líquido representado, isolada ou cumulativamente, por: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títulos de emissão do Tesouro Nacional ou do Banco Central do Brasil;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b) títulos e valores mobiliários de renda fixa cujo emissor esteja classificado na categoria baixo risco de crédito ou equivalente, com certificação por agência de classificação de risco localizada no País;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 xml:space="preserve">b) ativos financeiros de renda fixa </w:t>
      </w:r>
      <w:bookmarkStart w:id="161" w:name="_DV_C209"/>
      <w:r>
        <w:rPr>
          <w:rFonts w:ascii="Times New Roman" w:hAnsi="Times New Roman"/>
        </w:rPr>
        <w:t>considerados de</w:t>
      </w:r>
      <w:bookmarkStart w:id="162" w:name="_DV_M675"/>
      <w:bookmarkEnd w:id="161"/>
      <w:bookmarkEnd w:id="162"/>
      <w:r>
        <w:rPr>
          <w:rFonts w:ascii="Times New Roman" w:hAnsi="Times New Roman"/>
        </w:rPr>
        <w:t xml:space="preserve"> baixo risco de crédito </w:t>
      </w:r>
      <w:bookmarkStart w:id="163" w:name="_DV_C211"/>
      <w:r>
        <w:rPr>
          <w:rFonts w:ascii="Times New Roman" w:hAnsi="Times New Roman"/>
        </w:rPr>
        <w:t>pelo administrador e pelo gestor</w:t>
      </w:r>
      <w:bookmarkStart w:id="164" w:name="_DV_M676"/>
      <w:bookmarkEnd w:id="163"/>
      <w:bookmarkEnd w:id="164"/>
      <w:r>
        <w:rPr>
          <w:rFonts w:ascii="Times New Roman" w:hAnsi="Times New Roman"/>
        </w:rPr>
        <w:t>;</w:t>
      </w:r>
    </w:p>
    <w:p w:rsidR="00B2445D" w:rsidRDefault="00B2445D" w:rsidP="00B2445D">
      <w:pPr>
        <w:pStyle w:val="NormalWeb"/>
        <w:ind w:left="540"/>
        <w:jc w:val="both"/>
        <w:rPr>
          <w:rFonts w:ascii="Times New Roman" w:hAnsi="Times New Roman"/>
          <w:b/>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Alínea b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estipulem que 95% (noventa e cinco por cento), no mínimo, da carteira seja </w:t>
      </w:r>
      <w:proofErr w:type="gramStart"/>
      <w:r>
        <w:rPr>
          <w:rFonts w:ascii="Times New Roman" w:hAnsi="Times New Roman"/>
        </w:rPr>
        <w:t>composta</w:t>
      </w:r>
      <w:proofErr w:type="gramEnd"/>
      <w:r>
        <w:rPr>
          <w:rFonts w:ascii="Times New Roman" w:hAnsi="Times New Roman"/>
        </w:rPr>
        <w:t xml:space="preserve"> por ativos financeiros de forma a acompanhar, direta ou indiretamente, a variação do indicador de desempenho ("benchmark") escolhido;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w:t>
      </w:r>
      <w:proofErr w:type="gramStart"/>
      <w:r>
        <w:rPr>
          <w:rFonts w:ascii="Times New Roman" w:hAnsi="Times New Roman"/>
        </w:rPr>
        <w:t>restrinjam</w:t>
      </w:r>
      <w:proofErr w:type="gramEnd"/>
      <w:r>
        <w:rPr>
          <w:rFonts w:ascii="Times New Roman" w:hAnsi="Times New Roman"/>
        </w:rPr>
        <w:t xml:space="preserve"> a respectiva atuação nos mercados de derivativos a realização de operações com o objetivo de proteger posições detidas à vista, até o limite dessas.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Não se aplica aos fundos referenciados em índices do mercado de ações o disposto no inciso I, deste artigo.</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§1º revogado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Para efeito do disposto no caput deve ser observado que o indicador de desempenho deve estar expressamente definido na denominação do fundo.</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Nos fundos a que se refere o caput observar-se-á o seguinte:</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na emissão das cotas poderá ser utilizado valor de cota diferente do previsto no art. 14, para fins de emissão de cotas no mesmo dia da disponibilidade financeira dos recursos, segundo dispuser 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na emissão das cotas poderá ser utilizado valor de cota apurado de acordo com o disposto no § 3º do art. 10, para fins de emissão de cotas no mesmo dia da disponibilidade financeira dos recursos, segundo dispuser o regulamento;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42"/>
        </w:numPr>
        <w:ind w:left="0" w:firstLine="567"/>
        <w:jc w:val="both"/>
        <w:rPr>
          <w:rFonts w:ascii="Times New Roman" w:hAnsi="Times New Roman"/>
          <w:b/>
        </w:rPr>
      </w:pPr>
      <w:r>
        <w:rPr>
          <w:rFonts w:ascii="Times New Roman" w:hAnsi="Times New Roman"/>
          <w:b/>
        </w:rPr>
        <w:t xml:space="preserve">Inciso I do § 3º 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na conversão de cotas poderá ser utilizado valor de cota diferente do previsto no art. 15, II, para fins de resgate no mesmo dia do pedido, segundo dispuser no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na conversão de cotas poderá ser utilizado valor de cota apurado de acordo com o disposto no § 3º do art. 10, para fins de resgate no mesmo dia do pedido, segundo dispuser no regulamento; </w:t>
      </w:r>
      <w:proofErr w:type="gramStart"/>
      <w:r>
        <w:rPr>
          <w:rFonts w:ascii="Times New Roman" w:hAnsi="Times New Roman"/>
        </w:rPr>
        <w:t>e</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43"/>
        </w:numPr>
        <w:ind w:left="0" w:firstLine="567"/>
        <w:jc w:val="both"/>
        <w:rPr>
          <w:rFonts w:ascii="Times New Roman" w:hAnsi="Times New Roman"/>
          <w:b/>
        </w:rPr>
      </w:pPr>
      <w:r>
        <w:rPr>
          <w:rFonts w:ascii="Times New Roman" w:hAnsi="Times New Roman"/>
          <w:b/>
        </w:rPr>
        <w:lastRenderedPageBreak/>
        <w:t xml:space="preserve">Inciso II do § 3º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é vedada a cobrança de taxa de </w:t>
      </w:r>
      <w:proofErr w:type="gramStart"/>
      <w:r>
        <w:rPr>
          <w:rFonts w:ascii="Times New Roman" w:hAnsi="Times New Roman"/>
        </w:rPr>
        <w:t>performance</w:t>
      </w:r>
      <w:proofErr w:type="gramEnd"/>
      <w:r>
        <w:rPr>
          <w:rFonts w:ascii="Times New Roman" w:hAnsi="Times New Roman"/>
        </w:rPr>
        <w:t>, salvo quando se tratar de fundo destinado a investidor qualificado.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Subseção III</w:t>
      </w:r>
    </w:p>
    <w:p w:rsidR="00B2445D" w:rsidRDefault="00B2445D" w:rsidP="00B2445D">
      <w:pPr>
        <w:pStyle w:val="NormalWeb"/>
        <w:ind w:firstLine="567"/>
        <w:jc w:val="center"/>
        <w:rPr>
          <w:rFonts w:ascii="Times New Roman" w:hAnsi="Times New Roman"/>
        </w:rPr>
      </w:pPr>
      <w:r>
        <w:rPr>
          <w:rFonts w:ascii="Times New Roman" w:hAnsi="Times New Roman"/>
        </w:rPr>
        <w:t xml:space="preserve">Dos </w:t>
      </w:r>
      <w:proofErr w:type="gramStart"/>
      <w:r>
        <w:rPr>
          <w:rFonts w:ascii="Times New Roman" w:hAnsi="Times New Roman"/>
        </w:rPr>
        <w:t>Fundos Renda</w:t>
      </w:r>
      <w:proofErr w:type="gramEnd"/>
      <w:r>
        <w:rPr>
          <w:rFonts w:ascii="Times New Roman" w:hAnsi="Times New Roman"/>
        </w:rPr>
        <w:t xml:space="preserve"> Fixa</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Subseção III inserida pela Instrução CVM nº 450, de 30 de março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95.  As classificações "Renda Fixa", "Ações" e "Cambial" são definidas a partir do principal fator de risco associado à carteira do fundo.</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Os fundos classificados como "Renda Fixa" e "Cambial" deverão possuir, no mínimo, 80% (oitenta por cento) da carteira em ativos relacionados diretamente, ou sintetizados via derivativos, ao fator de risco que dá nome à classe.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Os fundos classificados como "Ações" deverão possuir, no mínimo, 67% (sessenta e sete por cento) da carteira em ações admitidas à negociação no mercado à vista de bolsa de valores ou entidade do mercado de balcão organizado.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Entende-se por principal fator de risco de um fundo o índice de inflação, a taxa de juros, o índice de ações, ou o preço do ativo cuja variação produza, potencialmente, maiores efeitos sobre o valor de mercado da carteira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§3º</w:t>
      </w:r>
      <w:proofErr w:type="gramStart"/>
      <w:r>
        <w:rPr>
          <w:rFonts w:ascii="Times New Roman" w:hAnsi="Times New Roman"/>
          <w:strike/>
        </w:rPr>
        <w:t xml:space="preserve">  </w:t>
      </w:r>
      <w:proofErr w:type="gramEnd"/>
      <w:r>
        <w:rPr>
          <w:rFonts w:ascii="Times New Roman" w:hAnsi="Times New Roman"/>
          <w:strike/>
        </w:rPr>
        <w:t>Entende-se por principal fator de risco de um fundo o índice de preços, a taxa de juros, o índice de ações, ou o preço do ativo cuja variação produza, potencialmente, maiores efeitos sobre o valor de mercado da carteira do fundo.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
        </w:numPr>
        <w:jc w:val="both"/>
        <w:rPr>
          <w:rFonts w:ascii="Times New Roman" w:hAnsi="Times New Roman"/>
          <w:b/>
          <w:strike/>
        </w:rPr>
      </w:pPr>
      <w:r>
        <w:rPr>
          <w:rFonts w:ascii="Times New Roman" w:hAnsi="Times New Roman"/>
          <w:b/>
          <w:strike/>
        </w:rPr>
        <w:t>§3º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§4º</w:t>
      </w:r>
      <w:proofErr w:type="gramStart"/>
      <w:r>
        <w:rPr>
          <w:rFonts w:ascii="Times New Roman" w:hAnsi="Times New Roman"/>
          <w:strike/>
        </w:rPr>
        <w:t xml:space="preserve">  </w:t>
      </w:r>
      <w:proofErr w:type="gramEnd"/>
      <w:r>
        <w:rPr>
          <w:rFonts w:ascii="Times New Roman" w:hAnsi="Times New Roman"/>
          <w:strike/>
        </w:rPr>
        <w:t>Os principais fatores de risco da carteira de um fundo classificado como "Renda Fixa" deve ser a variação da taxa de juros doméstica ou de índice de inflação, ou ambos.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§4º</w:t>
      </w:r>
      <w:proofErr w:type="gramStart"/>
      <w:r>
        <w:rPr>
          <w:rFonts w:ascii="Times New Roman" w:hAnsi="Times New Roman"/>
          <w:strike/>
        </w:rPr>
        <w:t xml:space="preserve">  </w:t>
      </w:r>
      <w:proofErr w:type="gramEnd"/>
      <w:r>
        <w:rPr>
          <w:rFonts w:ascii="Times New Roman" w:hAnsi="Times New Roman"/>
          <w:strike/>
        </w:rPr>
        <w:t>Os principais fatores de risco da carteira de um fundo classificado como "Renda Fixa" deve ser a variação da taxa de juros doméstica ou de índice de preços, ou ambos.</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44"/>
        </w:numPr>
        <w:ind w:left="0" w:firstLine="567"/>
        <w:jc w:val="both"/>
        <w:rPr>
          <w:rFonts w:ascii="Times New Roman" w:hAnsi="Times New Roman"/>
          <w:b/>
          <w:strike/>
        </w:rPr>
      </w:pPr>
      <w:r>
        <w:rPr>
          <w:rFonts w:ascii="Times New Roman" w:hAnsi="Times New Roman"/>
          <w:b/>
          <w:strike/>
        </w:rPr>
        <w:t>§4º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§5º</w:t>
      </w:r>
      <w:proofErr w:type="gramStart"/>
      <w:r>
        <w:rPr>
          <w:rFonts w:ascii="Times New Roman" w:hAnsi="Times New Roman"/>
          <w:strike/>
        </w:rPr>
        <w:t xml:space="preserve">  </w:t>
      </w:r>
      <w:proofErr w:type="gramEnd"/>
      <w:r>
        <w:rPr>
          <w:rFonts w:ascii="Times New Roman" w:hAnsi="Times New Roman"/>
          <w:strike/>
        </w:rPr>
        <w:t>O principal fator de risco da carteira de um fundo classificado como "Ações" deve ser a variação de preços de ações admitidas à negociação no mercado à vista de bolsa de valores ou entidade do mercado de balcão organizado.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O principal fator de risco da carteira de um fundo classificado como "Cambial" deve ser a variação de preços de moeda estrangeira.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O principal fator de risco da carteira de um fundo classificado como "Cambial" deve ser a variação de preços de moeda estrangeira ou a variação do cupom cambial.</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45"/>
        </w:numPr>
        <w:ind w:left="0" w:firstLine="567"/>
        <w:jc w:val="both"/>
        <w:rPr>
          <w:rFonts w:ascii="Times New Roman" w:hAnsi="Times New Roman"/>
          <w:b/>
          <w:strike/>
        </w:rPr>
      </w:pPr>
      <w:r>
        <w:rPr>
          <w:rFonts w:ascii="Times New Roman" w:hAnsi="Times New Roman"/>
          <w:b/>
          <w:strike/>
        </w:rPr>
        <w:t>§6º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§7º</w:t>
      </w:r>
      <w:proofErr w:type="gramStart"/>
      <w:r>
        <w:rPr>
          <w:rFonts w:ascii="Times New Roman" w:hAnsi="Times New Roman"/>
          <w:strike/>
        </w:rPr>
        <w:t xml:space="preserve">  </w:t>
      </w:r>
      <w:proofErr w:type="gramEnd"/>
      <w:r>
        <w:rPr>
          <w:rFonts w:ascii="Times New Roman" w:hAnsi="Times New Roman"/>
          <w:strike/>
        </w:rPr>
        <w:t>Nos fundos classificados como "Renda Fixa" observar-se-á o seguinte: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na emissão das cotas poderá ser utilizado valor de cota diferente do previsto no art. 14, para fins de emissão de cotas no mesmo dia da disponibilidade financeira dos recursos, segundo dispuser o regulamento, exceto para os fundos classificados na forma do parágrafo único do art. 92;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 – na emissão das cotas poderá ser utilizado valor de cota apurado de acordo com o disposto no § 3º do art. 10, para fins de emissão de cotas no mesmo dia da disponibilidade financeira dos recursos, segundo dispuser o regulamento, exceto para os fundos classificados na forma do parágrafo único do art. 92;</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46"/>
        </w:numPr>
        <w:ind w:left="0" w:firstLine="567"/>
        <w:jc w:val="both"/>
        <w:rPr>
          <w:rFonts w:ascii="Times New Roman" w:hAnsi="Times New Roman"/>
          <w:b/>
          <w:strike/>
        </w:rPr>
      </w:pPr>
      <w:r>
        <w:rPr>
          <w:rFonts w:ascii="Times New Roman" w:hAnsi="Times New Roman"/>
          <w:b/>
          <w:strike/>
        </w:rPr>
        <w:t xml:space="preserve">Inciso I do § 7º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na conversão de cotas poderá ser utilizado valor de cota diferente do previsto no art. 15, II, para fins de resgate no mesmo dia do pedido, segundo dispuser o regulamento, exceto para os fundos classificados na forma do parágrafo único do art. 92;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 – na conversão de cotas poderá ser utilizado valor de cota apurado de acordo com o disposto no § 3º do art. 10, para fins de resgate no mesmo dia do pedido, segundo dispuser o regulamento, exceto para os fundos classificados na forma do parágrafo único do art. 92;</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47"/>
        </w:numPr>
        <w:ind w:left="0" w:firstLine="567"/>
        <w:jc w:val="both"/>
        <w:rPr>
          <w:rFonts w:ascii="Times New Roman" w:hAnsi="Times New Roman"/>
          <w:b/>
          <w:strike/>
        </w:rPr>
      </w:pPr>
      <w:r>
        <w:rPr>
          <w:rFonts w:ascii="Times New Roman" w:hAnsi="Times New Roman"/>
          <w:b/>
          <w:strike/>
        </w:rPr>
        <w:t xml:space="preserve">Inciso II do § 7º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strike/>
        </w:rPr>
        <w:lastRenderedPageBreak/>
        <w:t xml:space="preserve">III – é vedada a cobrança de taxa de </w:t>
      </w:r>
      <w:proofErr w:type="gramStart"/>
      <w:r>
        <w:rPr>
          <w:rFonts w:ascii="Times New Roman" w:hAnsi="Times New Roman"/>
          <w:strike/>
        </w:rPr>
        <w:t>performance</w:t>
      </w:r>
      <w:proofErr w:type="gramEnd"/>
      <w:r>
        <w:rPr>
          <w:rFonts w:ascii="Times New Roman" w:hAnsi="Times New Roman"/>
          <w:strike/>
        </w:rPr>
        <w:t>, salvo quando se tratar de fundo destinado a investidor qualificado, ou classificado na forma do parágrafo único do art. 92.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95.  Os fundos classificados como “Renda Fixa”, deverão ter como principal fator de risco de sua carteira a variação da taxa de juros doméstica ou de índice de preços, ou ambos.</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O fundo classificado como “Renda Fixa” deverá possuir, no mínimo, 80% (oitenta por cento) da carteira em ativos relacionados diretamente, ou sintetizados via derivativos, ao fator de risco que dá nome à classe.</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Nos fundos classificados como "Renda Fixa" observar-se-á o seguinte:</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na emissão das cotas poderá ser utilizado valor de cota apurado de acordo com o disposto no § 3º do art. 10, para fins de emissão de cotas no mesmo dia da disponibilidade financeira dos recursos, segundo dispuser o regulamento, exceto para os fundos classificados na forma do §1º do art. 92;</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na conversão de cotas poderá ser utilizado valor de cota apurado de acordo com o disposto no § 3º do art. 10, para fins de resgate no mesmo dia do pedido, segundo dispuser o regulamento, exceto para os fundos classificados na forma do § 1º do art. 92;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é vedada a cobrança de taxa de </w:t>
      </w:r>
      <w:proofErr w:type="gramStart"/>
      <w:r>
        <w:rPr>
          <w:rFonts w:ascii="Times New Roman" w:hAnsi="Times New Roman"/>
        </w:rPr>
        <w:t>performance</w:t>
      </w:r>
      <w:proofErr w:type="gramEnd"/>
      <w:r>
        <w:rPr>
          <w:rFonts w:ascii="Times New Roman" w:hAnsi="Times New Roman"/>
        </w:rPr>
        <w:t>, salvo quando se tratar de fundo destinado a investidor qualificado, ou classificado na forma do § 1º do art. 92.</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95 e §§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lastRenderedPageBreak/>
        <w:t>Subseção IV</w:t>
      </w:r>
    </w:p>
    <w:p w:rsidR="00B2445D" w:rsidRDefault="00B2445D" w:rsidP="00B2445D">
      <w:pPr>
        <w:pStyle w:val="NormalWeb"/>
        <w:ind w:firstLine="567"/>
        <w:jc w:val="center"/>
        <w:rPr>
          <w:rFonts w:ascii="Times New Roman" w:hAnsi="Times New Roman"/>
        </w:rPr>
      </w:pPr>
      <w:r>
        <w:rPr>
          <w:rFonts w:ascii="Times New Roman" w:hAnsi="Times New Roman"/>
        </w:rPr>
        <w:t>Dos Fundos Cambiais</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b/>
        </w:rPr>
      </w:pPr>
      <w:r>
        <w:rPr>
          <w:rFonts w:ascii="Times New Roman" w:hAnsi="Times New Roman"/>
          <w:b/>
        </w:rPr>
        <w:t xml:space="preserve">Subseção IV inserida pela Instrução CVM nº 450, de 30 de março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95-A.</w:t>
      </w:r>
      <w:proofErr w:type="gramStart"/>
      <w:r>
        <w:rPr>
          <w:rFonts w:ascii="Times New Roman" w:hAnsi="Times New Roman"/>
        </w:rPr>
        <w:t xml:space="preserve">  </w:t>
      </w:r>
      <w:proofErr w:type="gramEnd"/>
      <w:r>
        <w:rPr>
          <w:rFonts w:ascii="Times New Roman" w:hAnsi="Times New Roman"/>
        </w:rPr>
        <w:t>Os Fundos classificados como Cambiais deverão ter como principal fator de risco de sua carteira a variação de preços de moeda estrangeira, ou a variação do cupom cambial.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Nos fundos a que se refere o </w:t>
      </w:r>
      <w:r>
        <w:rPr>
          <w:rFonts w:ascii="Times New Roman" w:hAnsi="Times New Roman"/>
          <w:b/>
        </w:rPr>
        <w:t>caput</w:t>
      </w:r>
      <w:r>
        <w:rPr>
          <w:rFonts w:ascii="Times New Roman" w:hAnsi="Times New Roman"/>
        </w:rPr>
        <w:t>, no mínimo, 80% (oitenta por cento) da carteira deverá ser composta por ativos relacionados diretamente, ou sintetizados via derivativos, ao fator de risco que dá nome à classe.</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95-A inserido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Heading1"/>
        <w:jc w:val="center"/>
      </w:pPr>
      <w:r>
        <w:t>Subseção V</w:t>
      </w:r>
    </w:p>
    <w:p w:rsidR="00B2445D" w:rsidRDefault="00B2445D" w:rsidP="00B2445D">
      <w:pPr>
        <w:jc w:val="center"/>
        <w:rPr>
          <w:color w:val="000000"/>
        </w:rPr>
      </w:pPr>
      <w:r>
        <w:rPr>
          <w:color w:val="000000"/>
        </w:rPr>
        <w:t xml:space="preserve">Dos </w:t>
      </w:r>
      <w:proofErr w:type="gramStart"/>
      <w:r>
        <w:rPr>
          <w:color w:val="000000"/>
        </w:rPr>
        <w:t>Fundos Ações</w:t>
      </w:r>
      <w:proofErr w:type="gramEnd"/>
    </w:p>
    <w:p w:rsidR="00B2445D" w:rsidRDefault="00B2445D" w:rsidP="00B2445D">
      <w:pPr>
        <w:jc w:val="center"/>
        <w:rPr>
          <w:color w:val="000000"/>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Subseção V inserida pela Instrução CVM nº 450, de 30 de março de 2007.</w:t>
      </w:r>
    </w:p>
    <w:p w:rsidR="00B2445D" w:rsidRDefault="00B2445D" w:rsidP="00B2445D">
      <w:pPr>
        <w:jc w:val="center"/>
        <w:rPr>
          <w:color w:val="000000"/>
        </w:rPr>
      </w:pPr>
    </w:p>
    <w:p w:rsidR="00B2445D" w:rsidRDefault="00B2445D" w:rsidP="00B2445D">
      <w:pPr>
        <w:pStyle w:val="NormalWeb"/>
        <w:ind w:firstLine="567"/>
        <w:jc w:val="both"/>
        <w:rPr>
          <w:rFonts w:ascii="Times New Roman" w:hAnsi="Times New Roman"/>
        </w:rPr>
      </w:pPr>
      <w:r>
        <w:rPr>
          <w:rFonts w:ascii="Times New Roman" w:hAnsi="Times New Roman"/>
        </w:rPr>
        <w:t>Art. 95-B.</w:t>
      </w:r>
      <w:proofErr w:type="gramStart"/>
      <w:r>
        <w:rPr>
          <w:rFonts w:ascii="Times New Roman" w:hAnsi="Times New Roman"/>
        </w:rPr>
        <w:t xml:space="preserve">  </w:t>
      </w:r>
      <w:proofErr w:type="gramEnd"/>
      <w:r>
        <w:rPr>
          <w:rFonts w:ascii="Times New Roman" w:hAnsi="Times New Roman"/>
        </w:rPr>
        <w:t>Os fundos classificados como “Ações” deverão ter como principal fator de risco a variação de preços de ações admitidas à negociação no mercado à vista de bolsa de valores ou entidade do mercado de balcão organizado.</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Nos fundos de que trata o caput: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I – 67% (sessenta e sete por cento), no mínimo, de seu patrimônio líquido deverão ser compostos pelos seguintes ativos: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67% (sessenta e sete por cento), no mínimo, de seu patrimônio líquido deverão ser compostos pelos seguintes ativos financeiros:</w:t>
      </w:r>
    </w:p>
    <w:p w:rsidR="00B2445D" w:rsidRDefault="00B2445D" w:rsidP="00B2445D">
      <w:pPr>
        <w:pStyle w:val="NormalWeb"/>
        <w:ind w:left="540"/>
        <w:jc w:val="both"/>
        <w:rPr>
          <w:rFonts w:ascii="Times New Roman" w:hAnsi="Times New Roman"/>
          <w:b/>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 ações admitidas à negociação em bolsa de valores ou entidade do mercado de balcão organizado;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b) bônus ou recibos de subscrição e certificados de depósito de ações admitidas à negociação nas entidades referidas na alínea “a”;</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c) cotas de fundos de ações e cotas dos fundos de índice de ações negociadas nas entidades referidas na alínea “a”; </w:t>
      </w:r>
      <w:proofErr w:type="gramStart"/>
      <w:r>
        <w:rPr>
          <w:rFonts w:ascii="Times New Roman" w:hAnsi="Times New Roman"/>
        </w:rPr>
        <w:t>e</w:t>
      </w:r>
      <w:proofErr w:type="gramEnd"/>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d) </w:t>
      </w:r>
      <w:proofErr w:type="spellStart"/>
      <w:r>
        <w:rPr>
          <w:rFonts w:ascii="Times New Roman" w:hAnsi="Times New Roman"/>
        </w:rPr>
        <w:t>Brazilian</w:t>
      </w:r>
      <w:proofErr w:type="spellEnd"/>
      <w:r>
        <w:rPr>
          <w:rFonts w:ascii="Times New Roman" w:hAnsi="Times New Roman"/>
        </w:rPr>
        <w:t xml:space="preserve"> </w:t>
      </w:r>
      <w:proofErr w:type="spellStart"/>
      <w:r>
        <w:rPr>
          <w:rFonts w:ascii="Times New Roman" w:hAnsi="Times New Roman"/>
        </w:rPr>
        <w:t>Depositary</w:t>
      </w:r>
      <w:proofErr w:type="spellEnd"/>
      <w:r>
        <w:rPr>
          <w:rFonts w:ascii="Times New Roman" w:hAnsi="Times New Roman"/>
        </w:rPr>
        <w:t xml:space="preserve"> </w:t>
      </w:r>
      <w:proofErr w:type="spellStart"/>
      <w:r>
        <w:rPr>
          <w:rFonts w:ascii="Times New Roman" w:hAnsi="Times New Roman"/>
        </w:rPr>
        <w:t>Receipts</w:t>
      </w:r>
      <w:proofErr w:type="spellEnd"/>
      <w:r>
        <w:rPr>
          <w:rFonts w:ascii="Times New Roman" w:hAnsi="Times New Roman"/>
        </w:rPr>
        <w:t xml:space="preserve"> classificados como nível II e III, de acordo com o art. 3º, §1º, incisos II e III da Instrução CVM nº 332, de 04 de abril de 2000.</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 patrimônio líquido do fundo que exceder o percentual fixado no inciso I poderá ser aplicado em quaisquer outras modalidades de ativos financeiros, observados os limites de concentração previstos no art. 87.</w:t>
      </w:r>
    </w:p>
    <w:p w:rsidR="00B2445D" w:rsidRDefault="00B2445D" w:rsidP="00B2445D">
      <w:pPr>
        <w:pStyle w:val="NormalWeb"/>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2º</w:t>
      </w:r>
      <w:proofErr w:type="gramStart"/>
      <w:r>
        <w:rPr>
          <w:rFonts w:ascii="Times New Roman" w:hAnsi="Times New Roman"/>
          <w:strike/>
        </w:rPr>
        <w:t xml:space="preserve">  </w:t>
      </w:r>
      <w:proofErr w:type="gramEnd"/>
      <w:r>
        <w:rPr>
          <w:rFonts w:ascii="Times New Roman" w:hAnsi="Times New Roman"/>
          <w:strike/>
        </w:rPr>
        <w:t xml:space="preserve">Sem prejuízo do disposto no caput, o investimento nos ativos financeiros listados no § 1º não estará sujeito a limites de concentração por emissor, desde que o regulamento, prospecto e </w:t>
      </w:r>
      <w:r>
        <w:rPr>
          <w:rFonts w:ascii="Times New Roman" w:hAnsi="Times New Roman"/>
          <w:strike/>
        </w:rPr>
        <w:lastRenderedPageBreak/>
        <w:t>material de venda do fundo, bem como os extratos enviados aos clientes, contenham, com destaque, alerta de que o fundo pode estar exposto a significativa concentração em ativos de poucos emissores, com os riscos daí decorrentes.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Sem prejuízo do disposto no caput, o investimento nos ativos financeiros listados no inciso I do § 1º não estará sujeito a limites de concentração por emissor, desde que o regulamento</w:t>
      </w:r>
      <w:bookmarkStart w:id="165" w:name="_DV_C213"/>
      <w:r>
        <w:rPr>
          <w:rFonts w:ascii="Times New Roman" w:hAnsi="Times New Roman"/>
        </w:rPr>
        <w:t xml:space="preserve"> e o</w:t>
      </w:r>
      <w:bookmarkStart w:id="166" w:name="_DV_M707"/>
      <w:bookmarkEnd w:id="165"/>
      <w:bookmarkEnd w:id="166"/>
      <w:r>
        <w:rPr>
          <w:rFonts w:ascii="Times New Roman" w:hAnsi="Times New Roman"/>
        </w:rPr>
        <w:t xml:space="preserve"> prospecto</w:t>
      </w:r>
      <w:bookmarkStart w:id="167" w:name="_DV_M708"/>
      <w:bookmarkEnd w:id="167"/>
      <w:r>
        <w:rPr>
          <w:rFonts w:ascii="Times New Roman" w:hAnsi="Times New Roman"/>
        </w:rPr>
        <w:t>, quando houver, contenham, com destaque, alerta de que o fundo pode estar exposto a significativa concentração em ativos financeiros de poucos emissores, com os riscos daí decorrentes.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§2º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3º</w:t>
      </w:r>
      <w:proofErr w:type="gramStart"/>
      <w:r>
        <w:rPr>
          <w:rFonts w:ascii="Times New Roman" w:hAnsi="Times New Roman"/>
          <w:strike/>
        </w:rPr>
        <w:t xml:space="preserve">  </w:t>
      </w:r>
      <w:proofErr w:type="gramEnd"/>
      <w:r>
        <w:rPr>
          <w:rFonts w:ascii="Times New Roman" w:hAnsi="Times New Roman"/>
          <w:strike/>
        </w:rPr>
        <w:t>O disposto no § 2º não se aplica aos BDR classificados como nível I, de acordo com o art. 3º, § 1º, inciso I da Instrução CVM nº 332, de 4 de abril de 2000.</w:t>
      </w:r>
    </w:p>
    <w:p w:rsidR="00B2445D" w:rsidRDefault="00B2445D" w:rsidP="00B2445D">
      <w:pPr>
        <w:pStyle w:val="NormalWeb"/>
        <w:jc w:val="both"/>
        <w:rPr>
          <w:rFonts w:ascii="Times New Roman" w:hAnsi="Times New Roman"/>
          <w:strike/>
        </w:rPr>
      </w:pPr>
    </w:p>
    <w:p w:rsidR="00B2445D" w:rsidRDefault="00B2445D" w:rsidP="00B2445D">
      <w:pPr>
        <w:pStyle w:val="NormalWeb"/>
        <w:numPr>
          <w:ilvl w:val="0"/>
          <w:numId w:val="14"/>
        </w:numPr>
        <w:ind w:left="0" w:firstLine="567"/>
        <w:jc w:val="both"/>
        <w:rPr>
          <w:rFonts w:ascii="Times New Roman" w:hAnsi="Times New Roman"/>
          <w:b/>
          <w:strike/>
        </w:rPr>
      </w:pPr>
      <w:r>
        <w:rPr>
          <w:rFonts w:ascii="Times New Roman" w:hAnsi="Times New Roman"/>
          <w:b/>
          <w:strike/>
        </w:rPr>
        <w:t>Art. 95-B inserido pela Instrução CVM nº 450, de 30 de março de 2007.</w:t>
      </w:r>
    </w:p>
    <w:p w:rsidR="00B2445D" w:rsidRDefault="00B2445D" w:rsidP="00B2445D">
      <w:pPr>
        <w:pStyle w:val="NormalWeb"/>
        <w:ind w:left="567"/>
        <w:jc w:val="both"/>
        <w:rPr>
          <w:rFonts w:ascii="Times New Roman" w:hAnsi="Times New Roman"/>
          <w:b/>
          <w:strike/>
        </w:rPr>
      </w:pPr>
    </w:p>
    <w:p w:rsidR="00B2445D" w:rsidRDefault="00B2445D" w:rsidP="00B2445D">
      <w:pPr>
        <w:tabs>
          <w:tab w:val="left" w:pos="5103"/>
        </w:tabs>
        <w:spacing w:line="312" w:lineRule="auto"/>
        <w:ind w:firstLine="567"/>
        <w:jc w:val="both"/>
        <w:rPr>
          <w:szCs w:val="20"/>
        </w:rPr>
      </w:pPr>
      <w:r>
        <w:rPr>
          <w:szCs w:val="20"/>
        </w:rPr>
        <w:t>§ 3º</w:t>
      </w:r>
      <w:proofErr w:type="gramStart"/>
      <w:r>
        <w:rPr>
          <w:szCs w:val="20"/>
        </w:rPr>
        <w:t xml:space="preserve">  </w:t>
      </w:r>
      <w:proofErr w:type="gramEnd"/>
      <w:r>
        <w:rPr>
          <w:szCs w:val="20"/>
        </w:rPr>
        <w:t>O rol de ativos do inciso I do §1º inclui os BDR classificados como nível I, de acordo com o art. 3º, § 1º, inciso I, e § 2º, da Instrução CVM nº 332, de 2000, desde que o fundo:</w:t>
      </w:r>
    </w:p>
    <w:p w:rsidR="00B2445D" w:rsidRDefault="00B2445D" w:rsidP="00B2445D">
      <w:pPr>
        <w:tabs>
          <w:tab w:val="left" w:pos="5103"/>
        </w:tabs>
        <w:spacing w:line="312" w:lineRule="auto"/>
        <w:ind w:firstLine="567"/>
        <w:jc w:val="both"/>
        <w:rPr>
          <w:szCs w:val="20"/>
        </w:rPr>
      </w:pPr>
    </w:p>
    <w:p w:rsidR="00B2445D" w:rsidRDefault="00B2445D" w:rsidP="00B2445D">
      <w:pPr>
        <w:tabs>
          <w:tab w:val="left" w:pos="5103"/>
        </w:tabs>
        <w:spacing w:line="312" w:lineRule="auto"/>
        <w:ind w:firstLine="567"/>
        <w:jc w:val="both"/>
        <w:rPr>
          <w:szCs w:val="20"/>
        </w:rPr>
      </w:pPr>
      <w:r>
        <w:rPr>
          <w:szCs w:val="20"/>
        </w:rPr>
        <w:t xml:space="preserve">I – se destine exclusivamente a investidores qualificados; </w:t>
      </w:r>
      <w:proofErr w:type="gramStart"/>
      <w:r>
        <w:rPr>
          <w:szCs w:val="20"/>
        </w:rPr>
        <w:t>e</w:t>
      </w:r>
      <w:proofErr w:type="gramEnd"/>
    </w:p>
    <w:p w:rsidR="00B2445D" w:rsidRDefault="00B2445D" w:rsidP="00B2445D">
      <w:pPr>
        <w:tabs>
          <w:tab w:val="left" w:pos="5103"/>
        </w:tabs>
        <w:spacing w:line="312" w:lineRule="auto"/>
        <w:ind w:firstLine="567"/>
        <w:jc w:val="both"/>
        <w:rPr>
          <w:szCs w:val="20"/>
        </w:rPr>
      </w:pPr>
    </w:p>
    <w:p w:rsidR="00B2445D" w:rsidRDefault="00B2445D" w:rsidP="00B2445D">
      <w:pPr>
        <w:tabs>
          <w:tab w:val="left" w:pos="5103"/>
        </w:tabs>
        <w:spacing w:line="312" w:lineRule="auto"/>
        <w:ind w:firstLine="567"/>
        <w:jc w:val="both"/>
        <w:rPr>
          <w:szCs w:val="20"/>
        </w:rPr>
      </w:pPr>
      <w:r>
        <w:rPr>
          <w:szCs w:val="20"/>
        </w:rPr>
        <w:t xml:space="preserve">II – use, em seu nome, a designação </w:t>
      </w:r>
      <w:proofErr w:type="gramStart"/>
      <w:r>
        <w:rPr>
          <w:szCs w:val="20"/>
        </w:rPr>
        <w:t>“Ações</w:t>
      </w:r>
      <w:proofErr w:type="gramEnd"/>
      <w:r>
        <w:rPr>
          <w:szCs w:val="20"/>
        </w:rPr>
        <w:t xml:space="preserve"> – BDR Nível I.</w:t>
      </w:r>
    </w:p>
    <w:p w:rsidR="00B2445D" w:rsidRDefault="00B2445D" w:rsidP="00B2445D">
      <w:pPr>
        <w:pStyle w:val="NormalWeb"/>
        <w:ind w:left="567"/>
        <w:jc w:val="both"/>
        <w:rPr>
          <w:rFonts w:ascii="Times New Roman" w:hAnsi="Times New Roman"/>
          <w:b/>
          <w:strike/>
        </w:rPr>
      </w:pPr>
    </w:p>
    <w:p w:rsidR="00B2445D" w:rsidRDefault="00B2445D" w:rsidP="00B2445D">
      <w:pPr>
        <w:pStyle w:val="BodyTextIndent"/>
        <w:numPr>
          <w:ilvl w:val="0"/>
          <w:numId w:val="14"/>
        </w:numPr>
        <w:ind w:hanging="153"/>
        <w:rPr>
          <w:b/>
        </w:rPr>
      </w:pPr>
      <w:r>
        <w:rPr>
          <w:b/>
        </w:rPr>
        <w:t>§3º com redação dada pela Instrução CVM nº 512, de 20 de dezembro de 2011.</w:t>
      </w:r>
    </w:p>
    <w:p w:rsidR="00B2445D" w:rsidRDefault="00B2445D" w:rsidP="00B2445D">
      <w:pPr>
        <w:pStyle w:val="BodyTextIndent"/>
        <w:rPr>
          <w:b/>
        </w:rPr>
      </w:pPr>
    </w:p>
    <w:p w:rsidR="00B2445D" w:rsidRDefault="00B2445D" w:rsidP="00B2445D">
      <w:pPr>
        <w:pStyle w:val="BodyTextIndent"/>
        <w:ind w:left="0" w:firstLine="567"/>
        <w:rPr>
          <w:b/>
        </w:rPr>
      </w:pPr>
      <w:r>
        <w:rPr>
          <w:szCs w:val="20"/>
        </w:rPr>
        <w:lastRenderedPageBreak/>
        <w:t>§ 4º</w:t>
      </w:r>
      <w:proofErr w:type="gramStart"/>
      <w:r>
        <w:rPr>
          <w:szCs w:val="20"/>
        </w:rPr>
        <w:t xml:space="preserve">  </w:t>
      </w:r>
      <w:proofErr w:type="gramEnd"/>
      <w:r>
        <w:rPr>
          <w:szCs w:val="20"/>
        </w:rPr>
        <w:t>O disposto no § 2º não se aplica aos BDR classificados como nível I, de acordo com o art. 3º, § 1º, inciso I, e § 2º, da Instrução CVM nº 332, de 2000, exceto para fundos que atendam aos requisitos do § 3º deste artigo.</w:t>
      </w:r>
    </w:p>
    <w:p w:rsidR="00B2445D" w:rsidRDefault="00B2445D" w:rsidP="00B2445D">
      <w:pPr>
        <w:pStyle w:val="NormalWeb"/>
        <w:ind w:left="567"/>
        <w:jc w:val="both"/>
        <w:rPr>
          <w:rFonts w:ascii="Times New Roman" w:hAnsi="Times New Roman"/>
          <w:b/>
          <w:strike/>
        </w:rPr>
      </w:pPr>
    </w:p>
    <w:p w:rsidR="00B2445D" w:rsidRDefault="00B2445D" w:rsidP="00B2445D">
      <w:pPr>
        <w:pStyle w:val="BodyTextIndent"/>
        <w:numPr>
          <w:ilvl w:val="0"/>
          <w:numId w:val="14"/>
        </w:numPr>
        <w:ind w:hanging="153"/>
        <w:rPr>
          <w:b/>
        </w:rPr>
      </w:pPr>
      <w:r>
        <w:rPr>
          <w:b/>
        </w:rPr>
        <w:t>§4º incluído pela Instrução CVM nº 512, de 20 de dezembro de 2011.</w:t>
      </w:r>
    </w:p>
    <w:p w:rsidR="00B2445D" w:rsidRDefault="00B2445D" w:rsidP="00B2445D">
      <w:pPr>
        <w:pStyle w:val="NormalWeb"/>
        <w:ind w:left="567"/>
        <w:jc w:val="both"/>
        <w:rPr>
          <w:rFonts w:ascii="Times New Roman" w:hAnsi="Times New Roman"/>
          <w:b/>
        </w:rPr>
      </w:pPr>
    </w:p>
    <w:p w:rsidR="00B2445D" w:rsidRDefault="00B2445D" w:rsidP="00B2445D">
      <w:pPr>
        <w:pStyle w:val="NormalWeb"/>
        <w:jc w:val="both"/>
        <w:rPr>
          <w:rFonts w:ascii="Times New Roman" w:hAnsi="Times New Roman"/>
        </w:rPr>
      </w:pPr>
    </w:p>
    <w:p w:rsidR="00B2445D" w:rsidRDefault="00B2445D" w:rsidP="00B2445D">
      <w:pPr>
        <w:pStyle w:val="NormalWeb"/>
        <w:ind w:firstLine="567"/>
        <w:jc w:val="center"/>
        <w:rPr>
          <w:rFonts w:ascii="Times New Roman" w:hAnsi="Times New Roman"/>
        </w:rPr>
      </w:pPr>
      <w:proofErr w:type="gramStart"/>
      <w:r>
        <w:rPr>
          <w:rFonts w:ascii="Times New Roman" w:hAnsi="Times New Roman"/>
        </w:rPr>
        <w:t>Subseção VI</w:t>
      </w:r>
      <w:proofErr w:type="gramEnd"/>
    </w:p>
    <w:p w:rsidR="00B2445D" w:rsidRDefault="00B2445D" w:rsidP="00B2445D">
      <w:pPr>
        <w:pStyle w:val="NormalWeb"/>
        <w:ind w:firstLine="567"/>
        <w:jc w:val="center"/>
        <w:rPr>
          <w:rFonts w:ascii="Times New Roman" w:hAnsi="Times New Roman"/>
        </w:rPr>
      </w:pPr>
      <w:r>
        <w:rPr>
          <w:rFonts w:ascii="Times New Roman" w:hAnsi="Times New Roman"/>
        </w:rPr>
        <w:t xml:space="preserve">Dos </w:t>
      </w:r>
      <w:proofErr w:type="gramStart"/>
      <w:r>
        <w:rPr>
          <w:rFonts w:ascii="Times New Roman" w:hAnsi="Times New Roman"/>
        </w:rPr>
        <w:t>Fundos Dívida</w:t>
      </w:r>
      <w:proofErr w:type="gramEnd"/>
      <w:r>
        <w:rPr>
          <w:rFonts w:ascii="Times New Roman" w:hAnsi="Times New Roman"/>
        </w:rPr>
        <w:t xml:space="preserve"> Externa</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proofErr w:type="gramStart"/>
      <w:r>
        <w:rPr>
          <w:rFonts w:ascii="Times New Roman" w:hAnsi="Times New Roman"/>
          <w:b/>
        </w:rPr>
        <w:t>Subseção VI</w:t>
      </w:r>
      <w:proofErr w:type="gramEnd"/>
      <w:r>
        <w:rPr>
          <w:rFonts w:ascii="Times New Roman" w:hAnsi="Times New Roman"/>
          <w:b/>
        </w:rPr>
        <w:t xml:space="preserve"> inserida pela Instrução CVM nº 450, de 30 de março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96.  Os fundos classificados como "Dívida Externa" deverão aplicar, no mínimo, 80% (oitenta por cento) de seu patrimônio líquido em títulos representativos da dívida externa de responsabilidade da União, sendo permitida a aplicação de até 20% (vinte por cento) do patrimônio líquido em outros títulos de crédito transacionados no mercado internacional. </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Os títulos representativos da dívida externa de responsabilidade da União devem ser mantidos, no exterior, em conta de custódia em nome do fundo, no Sistema </w:t>
      </w:r>
      <w:proofErr w:type="spellStart"/>
      <w:r>
        <w:rPr>
          <w:rFonts w:ascii="Times New Roman" w:hAnsi="Times New Roman"/>
          <w:strike/>
        </w:rPr>
        <w:t>Euroclear</w:t>
      </w:r>
      <w:proofErr w:type="spellEnd"/>
      <w:r>
        <w:rPr>
          <w:rFonts w:ascii="Times New Roman" w:hAnsi="Times New Roman"/>
          <w:strike/>
        </w:rPr>
        <w:t xml:space="preserve"> ou na </w:t>
      </w:r>
      <w:proofErr w:type="spellStart"/>
      <w:r>
        <w:rPr>
          <w:rFonts w:ascii="Times New Roman" w:hAnsi="Times New Roman"/>
          <w:strike/>
        </w:rPr>
        <w:t>LuxClear</w:t>
      </w:r>
      <w:proofErr w:type="spellEnd"/>
      <w:r>
        <w:rPr>
          <w:rFonts w:ascii="Times New Roman" w:hAnsi="Times New Roman"/>
          <w:strike/>
        </w:rPr>
        <w:t xml:space="preserve"> - Central </w:t>
      </w:r>
      <w:proofErr w:type="spellStart"/>
      <w:r>
        <w:rPr>
          <w:rFonts w:ascii="Times New Roman" w:hAnsi="Times New Roman"/>
          <w:strike/>
        </w:rPr>
        <w:t>Securities</w:t>
      </w:r>
      <w:proofErr w:type="spellEnd"/>
      <w:r>
        <w:rPr>
          <w:rFonts w:ascii="Times New Roman" w:hAnsi="Times New Roman"/>
          <w:strike/>
        </w:rPr>
        <w:t xml:space="preserve"> </w:t>
      </w:r>
      <w:proofErr w:type="spellStart"/>
      <w:r>
        <w:rPr>
          <w:rFonts w:ascii="Times New Roman" w:hAnsi="Times New Roman"/>
          <w:strike/>
        </w:rPr>
        <w:t>Depositary</w:t>
      </w:r>
      <w:proofErr w:type="spellEnd"/>
      <w:r>
        <w:rPr>
          <w:rFonts w:ascii="Times New Roman" w:hAnsi="Times New Roman"/>
          <w:strike/>
        </w:rPr>
        <w:t xml:space="preserve"> </w:t>
      </w:r>
      <w:proofErr w:type="spellStart"/>
      <w:r>
        <w:rPr>
          <w:rFonts w:ascii="Times New Roman" w:hAnsi="Times New Roman"/>
          <w:strike/>
        </w:rPr>
        <w:t>of</w:t>
      </w:r>
      <w:proofErr w:type="spellEnd"/>
      <w:r>
        <w:rPr>
          <w:rFonts w:ascii="Times New Roman" w:hAnsi="Times New Roman"/>
          <w:strike/>
        </w:rPr>
        <w:t xml:space="preserve"> </w:t>
      </w:r>
      <w:proofErr w:type="spellStart"/>
      <w:r>
        <w:rPr>
          <w:rFonts w:ascii="Times New Roman" w:hAnsi="Times New Roman"/>
          <w:strike/>
        </w:rPr>
        <w:t>Luxembourg</w:t>
      </w:r>
      <w:proofErr w:type="spellEnd"/>
      <w:r>
        <w:rPr>
          <w:rFonts w:ascii="Times New Roman" w:hAnsi="Times New Roman"/>
          <w:strike/>
        </w:rPr>
        <w:t xml:space="preserve"> (CEDEL)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Os títulos representativos da dívida externa de responsabilidade da União devem ser mantidos, no exterior, em conta de custódia, no Sistema </w:t>
      </w:r>
      <w:proofErr w:type="spellStart"/>
      <w:r>
        <w:rPr>
          <w:rFonts w:ascii="Times New Roman" w:hAnsi="Times New Roman"/>
        </w:rPr>
        <w:t>Euroclear</w:t>
      </w:r>
      <w:proofErr w:type="spellEnd"/>
      <w:r>
        <w:rPr>
          <w:rFonts w:ascii="Times New Roman" w:hAnsi="Times New Roman"/>
        </w:rPr>
        <w:t xml:space="preserve"> ou na </w:t>
      </w:r>
      <w:proofErr w:type="spellStart"/>
      <w:r>
        <w:rPr>
          <w:rFonts w:ascii="Times New Roman" w:hAnsi="Times New Roman"/>
        </w:rPr>
        <w:t>LuxClear</w:t>
      </w:r>
      <w:proofErr w:type="spellEnd"/>
      <w:r>
        <w:rPr>
          <w:rFonts w:ascii="Times New Roman" w:hAnsi="Times New Roman"/>
        </w:rPr>
        <w:t xml:space="preserve"> - Central </w:t>
      </w:r>
      <w:proofErr w:type="spellStart"/>
      <w:r>
        <w:rPr>
          <w:rFonts w:ascii="Times New Roman" w:hAnsi="Times New Roman"/>
        </w:rPr>
        <w:t>Securities</w:t>
      </w:r>
      <w:proofErr w:type="spellEnd"/>
      <w:r>
        <w:rPr>
          <w:rFonts w:ascii="Times New Roman" w:hAnsi="Times New Roman"/>
        </w:rPr>
        <w:t xml:space="preserve"> </w:t>
      </w:r>
      <w:proofErr w:type="spellStart"/>
      <w:r>
        <w:rPr>
          <w:rFonts w:ascii="Times New Roman" w:hAnsi="Times New Roman"/>
        </w:rPr>
        <w:t>Depositary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Luxembourg</w:t>
      </w:r>
      <w:proofErr w:type="spellEnd"/>
      <w:r>
        <w:rPr>
          <w:rFonts w:ascii="Times New Roman" w:hAnsi="Times New Roman"/>
        </w:rPr>
        <w:t xml:space="preserve"> (CEDEL).</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48"/>
        </w:numPr>
        <w:ind w:left="0" w:firstLine="567"/>
        <w:jc w:val="both"/>
        <w:rPr>
          <w:rFonts w:ascii="Times New Roman" w:hAnsi="Times New Roman"/>
          <w:b/>
        </w:rPr>
      </w:pPr>
      <w:r>
        <w:rPr>
          <w:rFonts w:ascii="Times New Roman" w:hAnsi="Times New Roman"/>
          <w:b/>
        </w:rPr>
        <w:t xml:space="preserve">§1º 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Os títulos integrantes da carteira do fundo devem ser custodiados em entidades habilitadas a prestar esse serviço pela autoridade local competente, diretamente em nome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Os títulos integrantes da carteira do fundo devem ser custodiados em entidades habilitadas a prestar esse serviço pela autoridade local competente.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49"/>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A aquisição de títulos representativos da dívida externa de responsabilidade da União é privativa dos fundos classificados nos termos do presente artigo, na forma da regulamentação do Conselho Monetário Nacional.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A aquisição de cotas de outros fundos classificados como “Dívida Externa” não está sujeita a incidência de limites de concentração por emissor (art. 86).</w:t>
      </w:r>
    </w:p>
    <w:p w:rsidR="00B2445D" w:rsidRDefault="00B2445D" w:rsidP="00B2445D">
      <w:pPr>
        <w:pStyle w:val="NormalWeb"/>
        <w:ind w:firstLine="567"/>
        <w:jc w:val="both"/>
        <w:rPr>
          <w:rFonts w:ascii="Verdana" w:hAnsi="Verdana"/>
          <w:sz w:val="20"/>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§3º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 xml:space="preserve">Atendidos os requisitos de composição estabelecidos no caput, os recursos porventura remanescentes: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podem ser direcionados à realização de operações em mercados organizados de derivativos no exterior, exclusivamente para fins de "hedge" dos títulos integrantes da carteira respectiva, ou ser mantidos em conta de depósito em nome do fundo, no exterior, observado, relativamente a essa última modalidade, o limite de 10% (dez por cento) do patrimônio líquido respectivo;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podem ser direcionados à realização de operações em mercados organizados de derivativos no País, exclusivamente para fins de "hedge" dos títulos integrantes da carteira respectiva e desde que referenciadas em títulos representativos de dívida externa de responsabilidade da União, ou ser mantidos em conta de depósito à vista em nome do fundo, no País, observado, no conjunto, o limite de 10% (dez por cento) do patrimônio líquido respectivo.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 xml:space="preserve">Para efeito do disposto no parágrafo 4º, inciso II: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as operações em mercados organizados de derivativos podem ser realizadas tanto naqueles administrados por bolsas de mercadorias e de futuros, quanto no de balcão, nesse caso desde que devidamente registradas na Central de Custódia e de Liquidação Financeira de Títulos - CETIP;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devem ser considerados os dispêndios efetivamente incorridos a título de prestação de margens de garantia em espécie, ajustes diários, prêmios e custos operacionais, decorrentes da manutenção de posições em mercados organizados de derivativos no País.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É permitida a aquisição de títulos públicos federais para utilização como margem de garantia nas operações em mercados organizados de derivativos no país.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2"/>
        </w:numPr>
        <w:ind w:left="0" w:firstLine="567"/>
        <w:jc w:val="both"/>
        <w:rPr>
          <w:rFonts w:ascii="Times New Roman" w:hAnsi="Times New Roman"/>
          <w:b/>
        </w:rPr>
      </w:pPr>
      <w:r>
        <w:rPr>
          <w:rFonts w:ascii="Times New Roman" w:hAnsi="Times New Roman"/>
          <w:b/>
        </w:rPr>
        <w:t>Inciso III acrescentado pela Instrução CVM nº 413, de 30 de dezembro de 2004.</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§6º</w:t>
      </w:r>
      <w:proofErr w:type="gramStart"/>
      <w:r>
        <w:rPr>
          <w:rFonts w:ascii="Times New Roman" w:hAnsi="Times New Roman"/>
        </w:rPr>
        <w:t xml:space="preserve">  </w:t>
      </w:r>
      <w:proofErr w:type="gramEnd"/>
      <w:r>
        <w:rPr>
          <w:rFonts w:ascii="Times New Roman" w:hAnsi="Times New Roman"/>
        </w:rPr>
        <w:t xml:space="preserve">Relativamente aos títulos de crédito transacionados no mercado internacional, o total de emissão ou coobrigação de uma mesma pessoa jurídica, de seu controlador, de sociedades por ele(a) direta ou indiretamente controladas e de suas coligadas sob controle comum não pode exceder 10% (dez por cento) do patrimônio líquido do fundo.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§7º</w:t>
      </w:r>
      <w:proofErr w:type="gramStart"/>
      <w:r>
        <w:rPr>
          <w:rFonts w:ascii="Times New Roman" w:hAnsi="Times New Roman"/>
          <w:strike/>
        </w:rPr>
        <w:t xml:space="preserve">  </w:t>
      </w:r>
      <w:proofErr w:type="gramEnd"/>
      <w:r>
        <w:rPr>
          <w:rFonts w:ascii="Times New Roman" w:hAnsi="Times New Roman"/>
          <w:strike/>
        </w:rPr>
        <w:t>É vedada a manutenção ou aplicação no País de recursos captados pelo fundo, exceto quando se tratar de operações realizadas em mercados organizados de derivativos, referenciadas em títulos representativos da dívida externa de responsabilidade da União.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§7º</w:t>
      </w:r>
      <w:proofErr w:type="gramStart"/>
      <w:r>
        <w:rPr>
          <w:rFonts w:ascii="Times New Roman" w:hAnsi="Times New Roman"/>
          <w:strike/>
        </w:rPr>
        <w:t xml:space="preserve">  </w:t>
      </w:r>
      <w:proofErr w:type="gramEnd"/>
      <w:r>
        <w:rPr>
          <w:rFonts w:ascii="Times New Roman" w:hAnsi="Times New Roman"/>
          <w:strike/>
        </w:rPr>
        <w:t>É vedada a manutenção ou aplicação no País de recursos captados pelo fundo, exceto nos casos do inciso II do § 4º deste artigo.</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50"/>
        </w:numPr>
        <w:ind w:left="0" w:firstLine="567"/>
        <w:jc w:val="both"/>
        <w:rPr>
          <w:rFonts w:ascii="Times New Roman" w:hAnsi="Times New Roman"/>
          <w:b/>
          <w:strike/>
        </w:rPr>
      </w:pPr>
      <w:r>
        <w:rPr>
          <w:rFonts w:ascii="Times New Roman" w:hAnsi="Times New Roman"/>
          <w:b/>
          <w:strike/>
        </w:rPr>
        <w:t>§7º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§7º</w:t>
      </w:r>
      <w:proofErr w:type="gramStart"/>
      <w:r>
        <w:rPr>
          <w:rFonts w:ascii="Times New Roman" w:hAnsi="Times New Roman"/>
        </w:rPr>
        <w:t xml:space="preserve">  </w:t>
      </w:r>
      <w:proofErr w:type="gramEnd"/>
      <w:r>
        <w:rPr>
          <w:rFonts w:ascii="Times New Roman" w:hAnsi="Times New Roman"/>
        </w:rPr>
        <w:t>É vedada a manutenção ou aplicação no País de recursos captados pelo fundo, exceto nos casos do inciso II do § 4º e do inciso III do § 5º deste artigo.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0"/>
        </w:numPr>
        <w:ind w:left="0" w:firstLine="567"/>
        <w:jc w:val="both"/>
        <w:rPr>
          <w:rFonts w:ascii="Times New Roman" w:hAnsi="Times New Roman"/>
          <w:b/>
        </w:rPr>
      </w:pPr>
      <w:r>
        <w:rPr>
          <w:rFonts w:ascii="Times New Roman" w:hAnsi="Times New Roman"/>
          <w:b/>
        </w:rPr>
        <w:t>§7º</w:t>
      </w:r>
      <w:proofErr w:type="gramStart"/>
      <w:r>
        <w:rPr>
          <w:rFonts w:ascii="Times New Roman" w:hAnsi="Times New Roman"/>
          <w:b/>
        </w:rPr>
        <w:t xml:space="preserve">  </w:t>
      </w:r>
      <w:proofErr w:type="gramEnd"/>
      <w:r>
        <w:rPr>
          <w:rFonts w:ascii="Times New Roman" w:hAnsi="Times New Roman"/>
          <w:b/>
        </w:rPr>
        <w:t>com redação dada pela Instrução CVM nº 413, de 30 de dezembro de 2004.</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Subseção VII</w:t>
      </w:r>
    </w:p>
    <w:p w:rsidR="00B2445D" w:rsidRDefault="00B2445D" w:rsidP="00B2445D">
      <w:pPr>
        <w:pStyle w:val="NormalWeb"/>
        <w:ind w:firstLine="567"/>
        <w:jc w:val="center"/>
        <w:rPr>
          <w:rFonts w:ascii="Times New Roman" w:hAnsi="Times New Roman"/>
        </w:rPr>
      </w:pPr>
      <w:r>
        <w:rPr>
          <w:rFonts w:ascii="Times New Roman" w:hAnsi="Times New Roman"/>
        </w:rPr>
        <w:t>Dos Fundos Multimercado</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Subseção VII inserida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97.  Os fundos classificados como "Multimercado" devem possuir políticas de investimento que </w:t>
      </w:r>
      <w:proofErr w:type="gramStart"/>
      <w:r>
        <w:rPr>
          <w:rFonts w:ascii="Times New Roman" w:hAnsi="Times New Roman"/>
        </w:rPr>
        <w:t>envolvam</w:t>
      </w:r>
      <w:proofErr w:type="gramEnd"/>
      <w:r>
        <w:rPr>
          <w:rFonts w:ascii="Times New Roman" w:hAnsi="Times New Roman"/>
        </w:rPr>
        <w:t xml:space="preserve"> vários fatores de risco, sem o compromisso de concentração em nenhum fator em especial ou em fatores diferentes das demais classes previstas no art. 92.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1º O regulamento dos fundos de que trata este artigo poderá autorizar a aplicação em ativos financeiros no exterior, no limite de 20% (vinte por cento) de seu patrimônio líquido, observado o disposto nos §§ 2º a 4º do art. 85.</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strike/>
        </w:rPr>
        <w:t>§ 2º</w:t>
      </w:r>
      <w:proofErr w:type="gramStart"/>
      <w:r>
        <w:rPr>
          <w:rFonts w:ascii="Times New Roman" w:hAnsi="Times New Roman"/>
          <w:strike/>
        </w:rPr>
        <w:t xml:space="preserve">  </w:t>
      </w:r>
      <w:proofErr w:type="gramEnd"/>
      <w:r>
        <w:rPr>
          <w:rFonts w:ascii="Times New Roman" w:hAnsi="Times New Roman"/>
          <w:strike/>
        </w:rPr>
        <w:t>A aquisição de cotas de fundos classificados como “Dívida Externa” pelos fundos de que trata este artigo não está sujeita a incidência de limites de concentração por emissor (art. 86).</w:t>
      </w:r>
    </w:p>
    <w:p w:rsidR="00B2445D" w:rsidRDefault="00B2445D" w:rsidP="00B2445D">
      <w:pPr>
        <w:pStyle w:val="BodyTextIndent2"/>
        <w:tabs>
          <w:tab w:val="left" w:leader="dot" w:pos="5103"/>
        </w:tabs>
        <w:spacing w:before="240" w:after="240"/>
        <w:ind w:firstLine="540"/>
      </w:pPr>
      <w:r>
        <w:t>§ 2º</w:t>
      </w:r>
      <w:proofErr w:type="gramStart"/>
      <w:r>
        <w:t xml:space="preserve">  </w:t>
      </w:r>
      <w:proofErr w:type="gramEnd"/>
      <w:r>
        <w:t>A aquisição de cotas de fundos classificados como “Dívida Externa” e de cotas de fundos de investimento sediados no exterior pelos fundos de que trata este artigo não está sujeita à incidência de limites de concentração por emissor (artigo 86).</w:t>
      </w:r>
    </w:p>
    <w:p w:rsidR="00B2445D" w:rsidRDefault="00B2445D" w:rsidP="00B2445D">
      <w:pPr>
        <w:pStyle w:val="NormalWeb"/>
        <w:numPr>
          <w:ilvl w:val="0"/>
          <w:numId w:val="34"/>
        </w:numPr>
        <w:ind w:left="0" w:firstLine="567"/>
        <w:jc w:val="both"/>
        <w:rPr>
          <w:rFonts w:ascii="Times New Roman" w:hAnsi="Times New Roman"/>
          <w:b/>
        </w:rPr>
      </w:pPr>
      <w:r>
        <w:rPr>
          <w:rFonts w:ascii="Times New Roman" w:hAnsi="Times New Roman"/>
          <w:b/>
        </w:rPr>
        <w:t xml:space="preserve">§ 2º com redação dada pela Instrução CVM nº465, de 20 de fevereiro de 2008.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3º</w:t>
      </w:r>
      <w:proofErr w:type="gramStart"/>
      <w:r>
        <w:rPr>
          <w:rFonts w:ascii="Times New Roman" w:hAnsi="Times New Roman"/>
          <w:strike/>
        </w:rPr>
        <w:t xml:space="preserve">  </w:t>
      </w:r>
      <w:proofErr w:type="gramEnd"/>
      <w:r>
        <w:rPr>
          <w:rFonts w:ascii="Times New Roman" w:hAnsi="Times New Roman"/>
          <w:strike/>
        </w:rPr>
        <w:t>O investimento em ativos financeiros listados inciso I do § 1º do art. 95-B pelos fundos de que trata este artigo não estará sujeito a limites de concentração por emissor, desde que o regulamento, prospecto e material de venda do fundo, bem como os extratos enviados aos clientes, contenham, com destaque, alerta de que o fundo pode estar exposto a significativa concentração em ativos de poucos emissores, com os riscos daí decorrentes.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§§1º a 3º acrescentados pela Instrução CVM nº 450, de 30 de março de </w:t>
      </w:r>
      <w:proofErr w:type="gramStart"/>
      <w:r>
        <w:rPr>
          <w:rFonts w:ascii="Times New Roman" w:hAnsi="Times New Roman"/>
          <w:b/>
        </w:rPr>
        <w:t>2007</w:t>
      </w:r>
      <w:proofErr w:type="gramEnd"/>
    </w:p>
    <w:p w:rsidR="00B2445D" w:rsidRDefault="00B2445D" w:rsidP="00B2445D">
      <w:pPr>
        <w:pStyle w:val="BodyTextIndent2"/>
        <w:tabs>
          <w:tab w:val="left" w:leader="dot" w:pos="5103"/>
        </w:tabs>
        <w:spacing w:before="240" w:after="240"/>
        <w:ind w:firstLine="540"/>
      </w:pPr>
      <w:r>
        <w:t>§ 3º</w:t>
      </w:r>
      <w:proofErr w:type="gramStart"/>
      <w:r>
        <w:t xml:space="preserve">  </w:t>
      </w:r>
      <w:proofErr w:type="gramEnd"/>
      <w:r>
        <w:t>O investimento em ativos financeiros listados inciso I do § 1º do art. 95-B pelos fundos de que trata este artigo não estará sujeito a limites de concentração por emissor, desde que o regulamento</w:t>
      </w:r>
      <w:bookmarkStart w:id="168" w:name="_DV_C216"/>
      <w:r>
        <w:t xml:space="preserve"> e o</w:t>
      </w:r>
      <w:bookmarkStart w:id="169" w:name="_DV_M731"/>
      <w:bookmarkEnd w:id="168"/>
      <w:bookmarkEnd w:id="169"/>
      <w:r>
        <w:t xml:space="preserve"> prospecto</w:t>
      </w:r>
      <w:bookmarkStart w:id="170" w:name="_DV_M732"/>
      <w:bookmarkEnd w:id="170"/>
      <w:r>
        <w:t xml:space="preserve"> contenham, com destaque, alerta de que o fundo pode estar exposto a significativa concentração em ativos de poucos emissores, com os riscos daí decorrentes.</w:t>
      </w: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§3º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left="360"/>
        <w:jc w:val="both"/>
        <w:rPr>
          <w:rFonts w:ascii="Times New Roman" w:hAnsi="Times New Roman"/>
        </w:rPr>
      </w:pPr>
    </w:p>
    <w:p w:rsidR="00B2445D" w:rsidRDefault="00B2445D" w:rsidP="00B2445D">
      <w:pPr>
        <w:pStyle w:val="NormalWeb"/>
        <w:ind w:left="360"/>
        <w:jc w:val="center"/>
        <w:rPr>
          <w:rFonts w:ascii="Times New Roman" w:hAnsi="Times New Roman"/>
        </w:rPr>
      </w:pPr>
      <w:r>
        <w:rPr>
          <w:rFonts w:ascii="Times New Roman" w:hAnsi="Times New Roman"/>
        </w:rPr>
        <w:t>Subseção VIII</w:t>
      </w:r>
    </w:p>
    <w:p w:rsidR="00B2445D" w:rsidRDefault="00B2445D" w:rsidP="00B2445D">
      <w:pPr>
        <w:pStyle w:val="NormalWeb"/>
        <w:ind w:left="360"/>
        <w:jc w:val="center"/>
        <w:rPr>
          <w:rFonts w:ascii="Times New Roman" w:hAnsi="Times New Roman"/>
        </w:rPr>
      </w:pPr>
      <w:r>
        <w:rPr>
          <w:rFonts w:ascii="Times New Roman" w:hAnsi="Times New Roman"/>
        </w:rPr>
        <w:t>Normas relativas à concentração em créditos privados</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Subseção VIII acrescentada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98.  O administrador e o gestor deverão acompanhar diariamente o enquadramento aos limites estabelecidos nesta Instrução e o fator de risco da carteira do fundo, de forma a manter a classe adotada no regulamento e a política de investimento do fundo.</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98.  O fundo de investimento pertencente a alguma das categorias de que tratam as subseções I, II, III, IV e VII que realizar aplicações em quaisquer ativos ou modalidades operacionais de responsabilidade de pessoas físicas ou jurídicas de direito privado, exceto no caso de ativos financeiros listados no inciso I do § 1º do art. 95-B, ou de emissores públicos outros que não a União Federal que, em seu conjunto, exceda o percentual de 50% (</w:t>
      </w:r>
      <w:proofErr w:type="spellStart"/>
      <w:r>
        <w:rPr>
          <w:rFonts w:ascii="Times New Roman" w:hAnsi="Times New Roman"/>
        </w:rPr>
        <w:t>cinqüenta</w:t>
      </w:r>
      <w:proofErr w:type="spellEnd"/>
      <w:r>
        <w:rPr>
          <w:rFonts w:ascii="Times New Roman" w:hAnsi="Times New Roman"/>
        </w:rPr>
        <w:t xml:space="preserve"> por cento) de seu patrimônio líquido, deverá observar as seguintes regras, cumulativamente àquelas previstas para sua classe:</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na denominação do fundo deverá constar a expressão “Crédito Privado”;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o regulamento, o prospecto e o material de venda do fundo deverão conter, com destaque, alerta de que o fundo está sujeito a risco de perda substancial de seu patrimônio líquido em caso de eventos que acarretem o não pagamento dos ativos integrantes de sua carteira, inclusive por força de intervenção, liquidação, regime de administração temporária, falência, recuperação judicial ou extrajudicial dos emissores responsáveis pelos ativos do fundo; </w:t>
      </w:r>
      <w:proofErr w:type="gramStart"/>
      <w:r>
        <w:rPr>
          <w:rFonts w:ascii="Times New Roman" w:hAnsi="Times New Roman"/>
          <w:strike/>
        </w:rPr>
        <w:t>e</w:t>
      </w:r>
      <w:proofErr w:type="gramEnd"/>
    </w:p>
    <w:p w:rsidR="00B2445D" w:rsidRDefault="00B2445D" w:rsidP="00B2445D">
      <w:pPr>
        <w:tabs>
          <w:tab w:val="left" w:pos="5103"/>
        </w:tabs>
        <w:spacing w:line="312" w:lineRule="auto"/>
        <w:ind w:left="1418"/>
        <w:jc w:val="both"/>
        <w:rPr>
          <w:szCs w:val="20"/>
        </w:rPr>
      </w:pPr>
    </w:p>
    <w:p w:rsidR="00B2445D" w:rsidRDefault="00B2445D" w:rsidP="00B2445D">
      <w:pPr>
        <w:pStyle w:val="NormalWeb"/>
        <w:ind w:firstLine="567"/>
        <w:jc w:val="both"/>
        <w:rPr>
          <w:rFonts w:ascii="Times New Roman" w:hAnsi="Times New Roman"/>
        </w:rPr>
      </w:pPr>
      <w:r>
        <w:rPr>
          <w:rFonts w:ascii="Times New Roman" w:hAnsi="Times New Roman"/>
        </w:rPr>
        <w:t>II – o regulamento</w:t>
      </w:r>
      <w:bookmarkStart w:id="171" w:name="_DV_C219"/>
      <w:r>
        <w:rPr>
          <w:rFonts w:ascii="Times New Roman" w:hAnsi="Times New Roman"/>
        </w:rPr>
        <w:t xml:space="preserve"> e</w:t>
      </w:r>
      <w:bookmarkStart w:id="172" w:name="_DV_M738"/>
      <w:bookmarkEnd w:id="171"/>
      <w:bookmarkEnd w:id="172"/>
      <w:r>
        <w:rPr>
          <w:rFonts w:ascii="Times New Roman" w:hAnsi="Times New Roman"/>
        </w:rPr>
        <w:t xml:space="preserve"> o prospecto deverão conter, com destaque, alerta de que o fundo está sujeito a risco de perda substancial de seu patrimônio líquido em caso de eventos que acarretem o não pagamento dos ativos financeiros integrantes de sua carteira, inclusive por força de intervenção, liquidação, regime de administração temporária, falência, recuperação judicial ou extrajudicial dos emissores responsáveis pelos ativos do fundo;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Inciso 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o ingresso no fundo será condicionado à assinatura de termo de ciência dos riscos inerentes à composição da carteira do fundo, de acordo com modelo constante do Anexo II, vedada a utilização de sistemas eletrônicos para esse fim.</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 xml:space="preserve">Caso a política de investimento do fundo permita a aplicação em cotas de outros fundos, o administrador deverá assegurar-se que as regras previstas nos incisos I a III deste artigo serão observadas quando, na consolidação das aplicações do fundo investidor com as dos fundos investidos, o percentual referido no </w:t>
      </w:r>
      <w:r>
        <w:rPr>
          <w:rFonts w:ascii="Times New Roman" w:hAnsi="Times New Roman"/>
          <w:b/>
        </w:rPr>
        <w:t>caput</w:t>
      </w:r>
      <w:r>
        <w:rPr>
          <w:rFonts w:ascii="Times New Roman" w:hAnsi="Times New Roman"/>
        </w:rPr>
        <w:t xml:space="preserve"> for excedido.</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O disposto neste artigo aplica-se aos fundos de investimento em cotas de fundos de investimento. </w:t>
      </w:r>
    </w:p>
    <w:p w:rsidR="00B2445D" w:rsidRDefault="00B2445D" w:rsidP="00B2445D">
      <w:pPr>
        <w:pStyle w:val="NormalWeb"/>
        <w:ind w:left="360"/>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Art. 98 e §§ com redação dada pela Instrução CVM nº 450, de 30 de março de 2007.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IX</w:t>
      </w:r>
    </w:p>
    <w:p w:rsidR="00B2445D" w:rsidRDefault="00B2445D" w:rsidP="00B2445D">
      <w:pPr>
        <w:pStyle w:val="NormalWeb"/>
        <w:ind w:firstLine="567"/>
        <w:jc w:val="center"/>
        <w:rPr>
          <w:rFonts w:ascii="Times New Roman" w:hAnsi="Times New Roman"/>
          <w:b/>
        </w:rPr>
      </w:pPr>
      <w:r>
        <w:rPr>
          <w:rFonts w:ascii="Times New Roman" w:hAnsi="Times New Roman"/>
          <w:b/>
        </w:rPr>
        <w:t>DOS ENCARGOS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99.  Constituem encargos do fundo as seguintes despesas, que lhe podem ser debitadas diretamente: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taxas, impostos ou contribuições federais, estaduais, municipais ou autárquicas, que recaiam ou venham a recair sobre os bens, direitos e obrigações do fundo;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despesas com o registro de documentos em cartório, impressão, expedição e publicação de relatórios previstos nesta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despesas com o registro de documentos em cartório, impressão, expedição e publicação de relatórios e informações periódicas previstas nesta Instrução;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0"/>
        </w:numPr>
        <w:ind w:left="0" w:firstLine="567"/>
        <w:jc w:val="both"/>
        <w:rPr>
          <w:rFonts w:ascii="Times New Roman" w:hAnsi="Times New Roman"/>
          <w:b/>
        </w:rPr>
      </w:pPr>
      <w:r>
        <w:rPr>
          <w:rFonts w:ascii="Times New Roman" w:hAnsi="Times New Roman"/>
          <w:b/>
        </w:rPr>
        <w:t>Inciso II com redação dada pela Instrução CVM nº 413, de 30 de dezembro de 2004.</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despesas com correspondência de interesse do fundo, inclusive comunicações aos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honorários e despesas do auditor independente;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emolumentos e comissões pagas por operações do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honorários de advogado, custas e despesas processuais correlatas, incorridas em razão de defesa dos interesses do fundo, em juízo ou fora dele, inclusive o valor da condenação imputada ao fundo, se for o caso;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parcela de prejuízos não coberta por apólices de seguro e não decorrente diretamente de culpa ou dolo dos prestadores dos serviços de administração no exercício de suas respectivas funções;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 xml:space="preserve">VIII – despesas relacionadas, direta ou indiretamente, ao exercício de direito de voto do fundo pelo administrador ou por seus representantes legalmente constituídos, em </w:t>
      </w:r>
      <w:proofErr w:type="spellStart"/>
      <w:r>
        <w:rPr>
          <w:rFonts w:ascii="Times New Roman" w:hAnsi="Times New Roman"/>
          <w:strike/>
        </w:rPr>
        <w:t>assembléias</w:t>
      </w:r>
      <w:proofErr w:type="spellEnd"/>
      <w:r>
        <w:rPr>
          <w:rFonts w:ascii="Times New Roman" w:hAnsi="Times New Roman"/>
          <w:strike/>
        </w:rPr>
        <w:t xml:space="preserve"> gerais das companhias nas quais o fundo detenha participação;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despesas relacionadas, direta ou indiretamente, ao exercício de direito de voto </w:t>
      </w:r>
      <w:bookmarkStart w:id="173" w:name="_DV_C221"/>
      <w:r>
        <w:rPr>
          <w:rFonts w:ascii="Times New Roman" w:hAnsi="Times New Roman"/>
        </w:rPr>
        <w:t xml:space="preserve">decorrente de ativos </w:t>
      </w:r>
      <w:bookmarkStart w:id="174" w:name="_DV_M754"/>
      <w:bookmarkEnd w:id="173"/>
      <w:bookmarkEnd w:id="174"/>
      <w:r>
        <w:rPr>
          <w:rFonts w:ascii="Times New Roman" w:hAnsi="Times New Roman"/>
        </w:rPr>
        <w:t>financeiros do fundo</w:t>
      </w:r>
      <w:bookmarkStart w:id="175" w:name="_DV_M755"/>
      <w:bookmarkEnd w:id="175"/>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VIII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IX – despesas com custódia e liquidação de operações com títulos e valores mobiliários e demais ativos financeiros;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IX – despesas com custódia e liquidação de operações com títulos e valores mobiliários, ativos financeiros e modalidades operacionais;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1"/>
        </w:numPr>
        <w:ind w:left="0" w:firstLine="567"/>
        <w:jc w:val="both"/>
        <w:rPr>
          <w:rFonts w:ascii="Times New Roman" w:hAnsi="Times New Roman"/>
          <w:b/>
        </w:rPr>
      </w:pPr>
      <w:r>
        <w:rPr>
          <w:rFonts w:ascii="Times New Roman" w:hAnsi="Times New Roman"/>
          <w:b/>
        </w:rPr>
        <w:t xml:space="preserve">Inciso IX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despesas com fechamento de câmbio, vinculadas às suas operações ou com certificados ou recibos de depósito de valores mobiliários;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 – no caso de fundo fechado, a contribuição anual devida às bolsas de valores ou às entidades do mercado de balcão organizado em que o fundo tenha suas cotas admitidas à negociação; </w:t>
      </w:r>
      <w:proofErr w:type="gramStart"/>
      <w:r>
        <w:rPr>
          <w:rFonts w:ascii="Times New Roman" w:hAnsi="Times New Roman"/>
        </w:rPr>
        <w:t>e</w:t>
      </w:r>
      <w:proofErr w:type="gram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 – as taxas de administração e de </w:t>
      </w:r>
      <w:proofErr w:type="gramStart"/>
      <w:r>
        <w:rPr>
          <w:rFonts w:ascii="Times New Roman" w:hAnsi="Times New Roman"/>
        </w:rPr>
        <w:t>performance</w:t>
      </w:r>
      <w:proofErr w:type="gramEnd"/>
      <w:r>
        <w:rPr>
          <w:rFonts w:ascii="Times New Roman" w:hAnsi="Times New Roman"/>
        </w:rPr>
        <w:t>, conforme previsto no art.61;</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100. Quaisquer despesas não previstas como encargos do fundo, inclusive as relativas à elaboração do prospecto, correm por conta do administrador, devendo ser por ele contratados.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100.  Quaisquer despesas não previstas como encargos do fundo, inclusive as relativas à elaboração do prospecto</w:t>
      </w:r>
      <w:bookmarkStart w:id="176" w:name="_DV_C223"/>
      <w:r>
        <w:rPr>
          <w:rFonts w:ascii="Times New Roman" w:hAnsi="Times New Roman"/>
        </w:rPr>
        <w:t xml:space="preserve"> e lâmina</w:t>
      </w:r>
      <w:bookmarkStart w:id="177" w:name="_DV_M761"/>
      <w:bookmarkEnd w:id="176"/>
      <w:bookmarkEnd w:id="177"/>
      <w:r>
        <w:rPr>
          <w:rFonts w:ascii="Times New Roman" w:hAnsi="Times New Roman"/>
        </w:rPr>
        <w:t>, correm por conta do administrador, devendo ser por ele contratadas.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Artigo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w:t>
      </w:r>
    </w:p>
    <w:p w:rsidR="00B2445D" w:rsidRDefault="00B2445D" w:rsidP="00B2445D">
      <w:pPr>
        <w:pStyle w:val="NormalWeb"/>
        <w:ind w:firstLine="567"/>
        <w:jc w:val="center"/>
        <w:rPr>
          <w:rFonts w:ascii="Times New Roman" w:hAnsi="Times New Roman"/>
          <w:b/>
        </w:rPr>
      </w:pPr>
      <w:r>
        <w:rPr>
          <w:rFonts w:ascii="Times New Roman" w:hAnsi="Times New Roman"/>
          <w:b/>
        </w:rPr>
        <w:t xml:space="preserve">DA INCORPORAÇÃO, DA FUSÃO, DA CISÃO E DA </w:t>
      </w:r>
      <w:proofErr w:type="gramStart"/>
      <w:r>
        <w:rPr>
          <w:rFonts w:ascii="Times New Roman" w:hAnsi="Times New Roman"/>
          <w:b/>
        </w:rPr>
        <w:t>TRANSFORMAÇÃO</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101.  São permitidas as operações de incorporação e fusão de fundos nas seguintes condições: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se os fundos tiverem política de </w:t>
      </w:r>
      <w:proofErr w:type="gramStart"/>
      <w:r>
        <w:rPr>
          <w:rFonts w:ascii="Times New Roman" w:hAnsi="Times New Roman"/>
        </w:rPr>
        <w:t>investimento compatíveis</w:t>
      </w:r>
      <w:proofErr w:type="gramEnd"/>
      <w:r>
        <w:rPr>
          <w:rFonts w:ascii="Times New Roman" w:hAnsi="Times New Roman"/>
        </w:rPr>
        <w:t xml:space="preserve">, a implementação da operação poderá ocorrer imediatamente após a realização da </w:t>
      </w:r>
      <w:proofErr w:type="spellStart"/>
      <w:r>
        <w:rPr>
          <w:rFonts w:ascii="Times New Roman" w:hAnsi="Times New Roman"/>
        </w:rPr>
        <w:t>assembléia</w:t>
      </w:r>
      <w:proofErr w:type="spellEnd"/>
      <w:r>
        <w:rPr>
          <w:rFonts w:ascii="Times New Roman" w:hAnsi="Times New Roman"/>
        </w:rPr>
        <w:t xml:space="preserve"> geral que a deliberar;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caso os fundos possuam política de investimento diferenciada, a </w:t>
      </w:r>
      <w:proofErr w:type="gramStart"/>
      <w:r>
        <w:rPr>
          <w:rFonts w:ascii="Times New Roman" w:hAnsi="Times New Roman"/>
        </w:rPr>
        <w:t>implementação</w:t>
      </w:r>
      <w:proofErr w:type="gramEnd"/>
      <w:r>
        <w:rPr>
          <w:rFonts w:ascii="Times New Roman" w:hAnsi="Times New Roman"/>
        </w:rPr>
        <w:t xml:space="preserve"> da operação somente deverá ocorrer após a alteração de regulamento efetuada nos termos do art. 43.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No caso de incorporação, cisão ou fusão envolvendo fundo organizado sob a forma de condomínio fechado, o administrador deve proceder às alterações de regulamento nos termos do </w:t>
      </w:r>
      <w:r>
        <w:rPr>
          <w:rFonts w:ascii="Times New Roman" w:hAnsi="Times New Roman"/>
          <w:strike/>
        </w:rPr>
        <w:lastRenderedPageBreak/>
        <w:t xml:space="preserve">art. 43 e acatar a solicitação de resgate de cotas dos cotistas que dissentirem da deliberação da </w:t>
      </w:r>
      <w:proofErr w:type="spellStart"/>
      <w:r>
        <w:rPr>
          <w:rFonts w:ascii="Times New Roman" w:hAnsi="Times New Roman"/>
          <w:strike/>
        </w:rPr>
        <w:t>assembléia</w:t>
      </w:r>
      <w:proofErr w:type="spellEnd"/>
      <w:r>
        <w:rPr>
          <w:rFonts w:ascii="Times New Roman" w:hAnsi="Times New Roman"/>
          <w:strike/>
        </w:rPr>
        <w:t xml:space="preserve"> geral.</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No caso de incorporação, cisão ou fusão envolvendo fundo organizado sob a forma de condomínio fechado, o administrador deve proceder às alterações de regulamento nos termos do art. 43 e acatar a solicitação de resgate de cotas dos cotistas que dissentirem da deliberação da </w:t>
      </w:r>
      <w:proofErr w:type="spellStart"/>
      <w:r>
        <w:rPr>
          <w:rFonts w:ascii="Times New Roman" w:hAnsi="Times New Roman"/>
        </w:rPr>
        <w:t>assembléia</w:t>
      </w:r>
      <w:proofErr w:type="spellEnd"/>
      <w:r>
        <w:rPr>
          <w:rFonts w:ascii="Times New Roman" w:hAnsi="Times New Roman"/>
        </w:rPr>
        <w:t xml:space="preserve"> geral, se abstiverem ou não comparecerem à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2"/>
        </w:numPr>
        <w:ind w:left="0" w:firstLine="567"/>
        <w:jc w:val="both"/>
        <w:rPr>
          <w:rFonts w:ascii="Times New Roman" w:hAnsi="Times New Roman"/>
          <w:b/>
        </w:rPr>
      </w:pPr>
      <w:r>
        <w:rPr>
          <w:rFonts w:ascii="Times New Roman" w:hAnsi="Times New Roman"/>
          <w:b/>
        </w:rPr>
        <w:t>§1º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O resgate de cotas previsto no parágrafo anterior deve ser realizado no máximo 10 (dez) dias após a solicitação do pedido.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pedido de resgate de cotas previsto no parágrafo anterior deve ser formulado até 10 (dez) dias após a comunicação da deliberação aos cotistas, e o pagamento do valor do resgate realizado no máximo 10 (dez) dias após a solicitação do cotista.</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3"/>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102.  As demonstrações contábeis de cada um dos </w:t>
      </w:r>
      <w:proofErr w:type="gramStart"/>
      <w:r>
        <w:rPr>
          <w:rFonts w:ascii="Times New Roman" w:hAnsi="Times New Roman"/>
        </w:rPr>
        <w:t>fundos objeto</w:t>
      </w:r>
      <w:proofErr w:type="gramEnd"/>
      <w:r>
        <w:rPr>
          <w:rFonts w:ascii="Times New Roman" w:hAnsi="Times New Roman"/>
        </w:rPr>
        <w:t xml:space="preserve"> de cisão, incorporação, fusão ou transformação, levantadas na data da operação, devem ser auditadas, no prazo máximo de 60 (sessenta) dias, contados da data da efetivação do evento, por auditor independente registrado na CVM, devendo constar em nota explicativa os critérios utilizados para a equalização das cotas entre os fundos.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Parágrafo único. O parâmetro utilizado para as conversões dos valores das cotas dos fundos nos casos de incorporação, fusão ou cisão, bem como o valor das cotas dos fundos resultantes de tais operações devem constar de nota explicativa.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103.  Nos casos de cisão, fusão, incorporação e transformação, devem ser </w:t>
      </w:r>
      <w:proofErr w:type="gramStart"/>
      <w:r>
        <w:rPr>
          <w:rFonts w:ascii="Times New Roman" w:hAnsi="Times New Roman"/>
          <w:strike/>
        </w:rPr>
        <w:t>encaminhados</w:t>
      </w:r>
      <w:proofErr w:type="gramEnd"/>
      <w:r>
        <w:rPr>
          <w:rFonts w:ascii="Times New Roman" w:hAnsi="Times New Roman"/>
          <w:strike/>
        </w:rPr>
        <w:t xml:space="preserve"> à CVM, através do Sistema de Envio de Documentos disponível na página da CVM na rede mundial de computadores, no prazo de até 15 (quinze) dias, contados da data da efetivação dos eventos deliberados nas respectivas </w:t>
      </w:r>
      <w:proofErr w:type="spellStart"/>
      <w:r>
        <w:rPr>
          <w:rFonts w:ascii="Times New Roman" w:hAnsi="Times New Roman"/>
          <w:strike/>
        </w:rPr>
        <w:t>assembléias</w:t>
      </w:r>
      <w:proofErr w:type="spellEnd"/>
      <w:r>
        <w:rPr>
          <w:rFonts w:ascii="Times New Roman" w:hAnsi="Times New Roman"/>
          <w:strike/>
        </w:rPr>
        <w:t xml:space="preserve"> gerais: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rPr>
        <w:t xml:space="preserve">Art. 103.  Nos casos de cisão, fusão, incorporação e transformação, devem ser </w:t>
      </w:r>
      <w:proofErr w:type="gramStart"/>
      <w:r>
        <w:rPr>
          <w:rFonts w:ascii="Times New Roman" w:hAnsi="Times New Roman"/>
        </w:rPr>
        <w:t>encaminhados</w:t>
      </w:r>
      <w:proofErr w:type="gramEnd"/>
      <w:r>
        <w:rPr>
          <w:rFonts w:ascii="Times New Roman" w:hAnsi="Times New Roman"/>
        </w:rPr>
        <w:t xml:space="preserve"> à CVM, através do Sistema de Envio de Documentos disponível na página da CVM na rede mundial de computadores, na data do início da vigência dos eventos deliberados em </w:t>
      </w:r>
      <w:proofErr w:type="spellStart"/>
      <w:r>
        <w:rPr>
          <w:rFonts w:ascii="Times New Roman" w:hAnsi="Times New Roman"/>
        </w:rPr>
        <w:t>assembléia</w:t>
      </w:r>
      <w:proofErr w:type="spell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Caput com redação dada pela Instrução CVM nº 456, de 22 de junho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novo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prospecto, devidamente atualizado, quando for o caso;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III – comprovante da entrada do pedido de baixa de registro no CNPJ dos fundos encerrados por fusão ou incorporação. </w:t>
      </w:r>
    </w:p>
    <w:p w:rsidR="00B2445D" w:rsidRDefault="00B2445D" w:rsidP="00B2445D">
      <w:pPr>
        <w:tabs>
          <w:tab w:val="left" w:pos="5103"/>
        </w:tabs>
        <w:spacing w:line="312" w:lineRule="auto"/>
        <w:ind w:left="1418"/>
        <w:jc w:val="both"/>
        <w:rPr>
          <w:szCs w:val="20"/>
        </w:rPr>
      </w:pPr>
    </w:p>
    <w:p w:rsidR="00B2445D" w:rsidRDefault="00B2445D" w:rsidP="00B2445D">
      <w:pPr>
        <w:pStyle w:val="NormalWeb"/>
        <w:ind w:firstLine="567"/>
        <w:jc w:val="both"/>
        <w:rPr>
          <w:rFonts w:ascii="Times New Roman" w:hAnsi="Times New Roman"/>
        </w:rPr>
      </w:pPr>
      <w:r>
        <w:rPr>
          <w:rFonts w:ascii="Times New Roman" w:hAnsi="Times New Roman"/>
        </w:rPr>
        <w:t>III – comprovante da entrada do pedido de baixa de registro no CNPJ dos fundos encerrados por fusão ou incorporação</w:t>
      </w:r>
      <w:bookmarkStart w:id="178" w:name="_DV_C225"/>
      <w:r>
        <w:rPr>
          <w:rFonts w:ascii="Times New Roman" w:hAnsi="Times New Roman"/>
        </w:rPr>
        <w:t xml:space="preserve">; </w:t>
      </w:r>
      <w:proofErr w:type="gramStart"/>
      <w:r>
        <w:rPr>
          <w:rFonts w:ascii="Times New Roman" w:hAnsi="Times New Roman"/>
        </w:rPr>
        <w:t>e</w:t>
      </w:r>
      <w:bookmarkEnd w:id="178"/>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bookmarkStart w:id="179" w:name="_DV_C226"/>
      <w:r>
        <w:rPr>
          <w:rFonts w:ascii="Times New Roman" w:hAnsi="Times New Roman"/>
        </w:rPr>
        <w:lastRenderedPageBreak/>
        <w:t>IV – lâmina devidamente atualizada, quando for o caso</w:t>
      </w:r>
      <w:bookmarkStart w:id="180" w:name="_DV_M775"/>
      <w:bookmarkEnd w:id="179"/>
      <w:bookmarkEnd w:id="180"/>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IV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administrador do fundo deverá manter </w:t>
      </w:r>
      <w:proofErr w:type="gramStart"/>
      <w:r>
        <w:rPr>
          <w:rFonts w:ascii="Times New Roman" w:hAnsi="Times New Roman"/>
        </w:rPr>
        <w:t>à</w:t>
      </w:r>
      <w:proofErr w:type="gramEnd"/>
      <w:r>
        <w:rPr>
          <w:rFonts w:ascii="Times New Roman" w:hAnsi="Times New Roman"/>
        </w:rPr>
        <w:t xml:space="preserve"> disposição da </w:t>
      </w:r>
      <w:proofErr w:type="spellStart"/>
      <w:r>
        <w:rPr>
          <w:rFonts w:ascii="Times New Roman" w:hAnsi="Times New Roman"/>
        </w:rPr>
        <w:t>CVMo</w:t>
      </w:r>
      <w:proofErr w:type="spellEnd"/>
      <w:r>
        <w:rPr>
          <w:rFonts w:ascii="Times New Roman" w:hAnsi="Times New Roman"/>
        </w:rPr>
        <w:t xml:space="preserve"> parecer de auditoria relativo ao demonstrativo de cisão, incorporação ou fusão.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104.  Mediante a autorização prévia da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o fundo aberto pode ser transformado em fundo fechado;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o clube de investimento pode ser transformado em fundo, aberto ou fechado.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Para os efeitos dessa autorização o administrador do fundo deve enviar à CVM, através do Sistema de Envio de Documentos disponível na página da CVM na rede mundial de computadores, os documentos referidos no art. 103, no prazo de 15 (quinze) dias após a realização da </w:t>
      </w:r>
      <w:proofErr w:type="spellStart"/>
      <w:r>
        <w:rPr>
          <w:rFonts w:ascii="Times New Roman" w:hAnsi="Times New Roman"/>
        </w:rPr>
        <w:t>assembléia</w:t>
      </w:r>
      <w:proofErr w:type="spell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Após a autorização da CVM, o administrador do fundo deve conceder prazo não inferior a 30 (trinta) dias para solicitação de resgate de cotas dos cotistas que dissentirem da deliberação da </w:t>
      </w:r>
      <w:proofErr w:type="spellStart"/>
      <w:r>
        <w:rPr>
          <w:rFonts w:ascii="Times New Roman" w:hAnsi="Times New Roman"/>
        </w:rPr>
        <w:t>assembléia</w:t>
      </w:r>
      <w:proofErr w:type="spellEnd"/>
      <w:r>
        <w:rPr>
          <w:rFonts w:ascii="Times New Roman" w:hAnsi="Times New Roman"/>
        </w:rPr>
        <w:t xml:space="preserve"> geral.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O resgate de cotas previsto no parágrafo anterior deve ser realizado nas condições vigentes antes da realização da </w:t>
      </w:r>
      <w:proofErr w:type="spellStart"/>
      <w:r>
        <w:rPr>
          <w:rFonts w:ascii="Times New Roman" w:hAnsi="Times New Roman"/>
        </w:rPr>
        <w:t>assembléia</w:t>
      </w:r>
      <w:proofErr w:type="spellEnd"/>
      <w:r>
        <w:rPr>
          <w:rFonts w:ascii="Times New Roman" w:hAnsi="Times New Roman"/>
        </w:rPr>
        <w:t xml:space="preserve"> geral que deliberar pela transformação do fundo aberto em fechado, ou do clube de investimento em fundo.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4º</w:t>
      </w:r>
      <w:proofErr w:type="gramStart"/>
      <w:r>
        <w:rPr>
          <w:rFonts w:ascii="Times New Roman" w:hAnsi="Times New Roman"/>
        </w:rPr>
        <w:t xml:space="preserve">  </w:t>
      </w:r>
      <w:proofErr w:type="gramEnd"/>
      <w:r>
        <w:rPr>
          <w:rFonts w:ascii="Times New Roman" w:hAnsi="Times New Roman"/>
        </w:rPr>
        <w:t xml:space="preserve">No caso do inciso I do caput, a autorização será automaticamente concedida  mediante o envio à CVM, por meio do Sistema de Envio de Documentos disponível na página da CVM na rede mundial de computadores, dos documentos referidos no art. 103, quando se tratar de: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fundos exclusivos;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fundos de investimento exclusivamente destinados a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67"/>
        <w:jc w:val="both"/>
        <w:rPr>
          <w:rFonts w:ascii="Times New Roman" w:hAnsi="Times New Roman"/>
          <w:i/>
        </w:rPr>
      </w:pPr>
      <w:r>
        <w:rPr>
          <w:rFonts w:ascii="Times New Roman" w:hAnsi="Times New Roman"/>
          <w:b/>
        </w:rPr>
        <w:t xml:space="preserve">§4º incluído pela Instrução CVM nº 536, de 23 de agosto de </w:t>
      </w:r>
      <w:proofErr w:type="gramStart"/>
      <w:r>
        <w:rPr>
          <w:rFonts w:ascii="Times New Roman" w:hAnsi="Times New Roman"/>
          <w:b/>
        </w:rPr>
        <w:t>2013</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XI</w:t>
      </w:r>
    </w:p>
    <w:p w:rsidR="00B2445D" w:rsidRDefault="00B2445D" w:rsidP="00B2445D">
      <w:pPr>
        <w:pStyle w:val="NormalWeb"/>
        <w:ind w:firstLine="567"/>
        <w:jc w:val="center"/>
        <w:rPr>
          <w:rFonts w:ascii="Times New Roman" w:hAnsi="Times New Roman"/>
          <w:b/>
        </w:rPr>
      </w:pPr>
      <w:r>
        <w:rPr>
          <w:rFonts w:ascii="Times New Roman" w:hAnsi="Times New Roman"/>
          <w:b/>
        </w:rPr>
        <w:t>DA LIQUIDAÇÃO E DO ENCERRAMENTO DO FUNDO</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Da Liquidação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105.  Após 90 (noventa) dias do início de atividades, o fundo aberto que mantiver, a qualquer tempo, patrimônio líquido médio diário inferior a R$ 300.000,00 (trezentos mil reais) pelo período de 90 (noventa) dias consecutivos deve ser imediatamente liquidado ou incorporado a outro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Art. 106.  Na hipótese de liquidação do fundo por deliberação da </w:t>
      </w:r>
      <w:proofErr w:type="spellStart"/>
      <w:r>
        <w:rPr>
          <w:rFonts w:ascii="Times New Roman" w:hAnsi="Times New Roman"/>
        </w:rPr>
        <w:t>assembléia</w:t>
      </w:r>
      <w:proofErr w:type="spellEnd"/>
      <w:r>
        <w:rPr>
          <w:rFonts w:ascii="Times New Roman" w:hAnsi="Times New Roman"/>
        </w:rPr>
        <w:t xml:space="preserve"> geral, o administrador deve promover a divisão de seu patrimônio entre os cotistas, na proporção de suas cotas, no prazo máximo de 30 (trinta) dias, a contar da data da realização da </w:t>
      </w:r>
      <w:proofErr w:type="spellStart"/>
      <w:r>
        <w:rPr>
          <w:rFonts w:ascii="Times New Roman" w:hAnsi="Times New Roman"/>
        </w:rPr>
        <w:t>assembléia</w:t>
      </w:r>
      <w:proofErr w:type="spellEnd"/>
      <w:r>
        <w:rPr>
          <w:rFonts w:ascii="Times New Roman" w:hAnsi="Times New Roman"/>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A </w:t>
      </w:r>
      <w:proofErr w:type="spellStart"/>
      <w:r>
        <w:rPr>
          <w:rFonts w:ascii="Times New Roman" w:hAnsi="Times New Roman"/>
        </w:rPr>
        <w:t>assembléia</w:t>
      </w:r>
      <w:proofErr w:type="spellEnd"/>
      <w:r>
        <w:rPr>
          <w:rFonts w:ascii="Times New Roman" w:hAnsi="Times New Roman"/>
        </w:rPr>
        <w:t xml:space="preserve"> geral deverá deliberar acerca da forma de pagamento dos valores devidos aos cotistas.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 xml:space="preserve">O auditor independente deve emitir parecer sobre a demonstração da movimentação do patrimônio líquido, compreendendo o período entre a data das últimas demonstrações contábeis auditadas e a data da efetiva liquidação do fundo, manifestando-se sobre as movimentações ocorridas no período.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 xml:space="preserve">Deverá constar das notas explicativas às demonstrações contábeis do fundo análise quanto a terem os valores dos resgates sido ou não efetuados em condições </w:t>
      </w:r>
      <w:proofErr w:type="spellStart"/>
      <w:r>
        <w:rPr>
          <w:rFonts w:ascii="Times New Roman" w:hAnsi="Times New Roman"/>
        </w:rPr>
        <w:t>eqüitativas</w:t>
      </w:r>
      <w:proofErr w:type="spellEnd"/>
      <w:r>
        <w:rPr>
          <w:rFonts w:ascii="Times New Roman" w:hAnsi="Times New Roman"/>
        </w:rPr>
        <w:t xml:space="preserve"> e de acordo com a regulamentação pertinente, bem como quanto à existência ou não de débitos, créditos, ativos ou passivos não contabilizados.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Do Encerramento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107.  Após pagamento aos cotistas do valor total de suas cotas, inclusive em caso de encerramento por resgate, o administrador do fundo deve encaminhar à CVM, através do Sistema de Envio de Documentos disponível na página da CVM na rede mundial de computadores, no prazo de 15 (quinze) dias, a seguinte documentação: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ata da </w:t>
      </w:r>
      <w:proofErr w:type="spellStart"/>
      <w:r>
        <w:rPr>
          <w:rFonts w:ascii="Times New Roman" w:hAnsi="Times New Roman"/>
        </w:rPr>
        <w:t>assembléia</w:t>
      </w:r>
      <w:proofErr w:type="spellEnd"/>
      <w:r>
        <w:rPr>
          <w:rFonts w:ascii="Times New Roman" w:hAnsi="Times New Roman"/>
        </w:rPr>
        <w:t xml:space="preserve"> geral que tenha deliberado a liquidação do fundo, quando for o caso, ou termo de encerramento firmado pelo administrador em caso de resgate total; </w:t>
      </w:r>
      <w:proofErr w:type="gramStart"/>
      <w:r>
        <w:rPr>
          <w:rFonts w:ascii="Times New Roman" w:hAnsi="Times New Roman"/>
        </w:rPr>
        <w:t>e</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II – comprovante da entrada do pedido de baixa de registro no CNPJ.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administrador deve manter </w:t>
      </w:r>
      <w:proofErr w:type="gramStart"/>
      <w:r>
        <w:rPr>
          <w:rFonts w:ascii="Times New Roman" w:hAnsi="Times New Roman"/>
        </w:rPr>
        <w:t>à</w:t>
      </w:r>
      <w:proofErr w:type="gramEnd"/>
      <w:r>
        <w:rPr>
          <w:rFonts w:ascii="Times New Roman" w:hAnsi="Times New Roman"/>
        </w:rPr>
        <w:t xml:space="preserve"> disposição da fiscalização da CVM, após o prazo de 90 (noventa) dias, contados da data de entrega dos documentos referidos nos incisos I e II deste artigo, o parecer de auditoria relativo ao demonstrativo de liquidação do fundo a que se refere o § 2º do art.106.</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b/>
          <w:strike/>
        </w:rPr>
      </w:pPr>
      <w:r>
        <w:rPr>
          <w:rFonts w:ascii="Times New Roman" w:hAnsi="Times New Roman"/>
          <w:b/>
          <w:strike/>
        </w:rPr>
        <w:t>CAPÍTULO XII</w:t>
      </w:r>
    </w:p>
    <w:p w:rsidR="00B2445D" w:rsidRDefault="00B2445D" w:rsidP="00B2445D">
      <w:pPr>
        <w:pStyle w:val="NormalWeb"/>
        <w:ind w:firstLine="567"/>
        <w:jc w:val="center"/>
        <w:rPr>
          <w:rFonts w:ascii="Times New Roman" w:hAnsi="Times New Roman"/>
          <w:b/>
          <w:strike/>
        </w:rPr>
      </w:pPr>
      <w:r>
        <w:rPr>
          <w:rFonts w:ascii="Times New Roman" w:hAnsi="Times New Roman"/>
          <w:b/>
          <w:strike/>
        </w:rPr>
        <w:t>DO FUNDO PARA INVESTIDORES QUALIFICADOS</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XII</w:t>
      </w:r>
    </w:p>
    <w:p w:rsidR="00B2445D" w:rsidRDefault="00B2445D" w:rsidP="00B2445D">
      <w:pPr>
        <w:pStyle w:val="NormalWeb"/>
        <w:ind w:firstLine="567"/>
        <w:jc w:val="center"/>
        <w:rPr>
          <w:rFonts w:ascii="Times New Roman" w:hAnsi="Times New Roman"/>
          <w:b/>
        </w:rPr>
      </w:pPr>
      <w:r>
        <w:rPr>
          <w:rFonts w:ascii="Times New Roman" w:hAnsi="Times New Roman"/>
          <w:b/>
        </w:rPr>
        <w:t>DOS FUNDOS PARA INVESTIDORES QUALIFICADOS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Capítulo XII renomeado pela Instrução CVM nº 450, de 30 de março de 2007.</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w:t>
      </w:r>
    </w:p>
    <w:p w:rsidR="00B2445D" w:rsidRDefault="00B2445D" w:rsidP="00B2445D">
      <w:pPr>
        <w:pStyle w:val="NormalWeb"/>
        <w:ind w:firstLine="567"/>
        <w:jc w:val="center"/>
        <w:rPr>
          <w:rFonts w:ascii="Times New Roman" w:hAnsi="Times New Roman"/>
        </w:rPr>
      </w:pPr>
      <w:r>
        <w:rPr>
          <w:rFonts w:ascii="Times New Roman" w:hAnsi="Times New Roman"/>
        </w:rPr>
        <w:t>Disposições Gerais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 inserida pela Instrução CVM nº 450, de 30 de março de 2007.</w:t>
      </w:r>
    </w:p>
    <w:p w:rsidR="00B2445D" w:rsidRDefault="00B2445D" w:rsidP="00B2445D">
      <w:pPr>
        <w:pStyle w:val="NormalWeb"/>
        <w:ind w:left="360"/>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Art. 108.  Pode ser constituído fundo de investimento destinado, exclusivamente, a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109.  Para efeito do disposto no artigo anterior, são considerados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instituições financeiras;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companhias seguradoras e sociedades de capitalização;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entidades abertas e fechadas de previdência complementar;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pessoas físicas ou jurídicas que possuam investimentos financeiros em valor superior a R$ 300.000,00 (trezentos mil reais) e que, adicionalmente, atestem por escrito sua condição de investidor qualificado mediante termo próprio, de acordo com o Anexo 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 – fundos de investimento destinados exclusivamente a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administradores de carteira e consultores de valores mobiliários autorizados pela CVM, em relação a seus recursos próprios;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regimes próprios de previdência social instituídos pela União, pelos Estados, pelo Distrito</w:t>
      </w:r>
      <w:proofErr w:type="gramStart"/>
      <w:r>
        <w:rPr>
          <w:rFonts w:ascii="Times New Roman" w:hAnsi="Times New Roman"/>
        </w:rPr>
        <w:t xml:space="preserve">  </w:t>
      </w:r>
      <w:proofErr w:type="gramEnd"/>
      <w:r>
        <w:rPr>
          <w:rFonts w:ascii="Times New Roman" w:hAnsi="Times New Roman"/>
        </w:rPr>
        <w:t>Federal ou por Municípios.</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Inciso VII acrescentado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lastRenderedPageBreak/>
        <w:t>§1º</w:t>
      </w:r>
      <w:proofErr w:type="gramStart"/>
      <w:r>
        <w:rPr>
          <w:rFonts w:ascii="Times New Roman" w:hAnsi="Times New Roman"/>
          <w:strike/>
        </w:rPr>
        <w:t xml:space="preserve">  </w:t>
      </w:r>
      <w:proofErr w:type="gramEnd"/>
      <w:r>
        <w:rPr>
          <w:rFonts w:ascii="Times New Roman" w:hAnsi="Times New Roman"/>
          <w:strike/>
        </w:rPr>
        <w:t xml:space="preserve">Poderão ser admitidos, como cotistas de um fundo para investidores qualificados, os empregados e/ou sócios das instituições administradoras ou gestoras deste fundo, expressamente autorizados pelo diretor responsável da instituição perante a CVM.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Poderão ser admitidos, como cotistas de um fundo para investidores qualificados, os empregados ou sócios das instituições administradoras ou gestoras deste fundo, expressamente autorizados pelo diretor responsável da instituição perante a CVM. </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§1º com redação dada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 xml:space="preserve">É permitida a permanência, em fundos para investidores qualificados, de cotistas que não se enquadrem nos incisos deste artigo, desde que tais cotistas tenham ingressado até a data da publicação desta Instrução e em concordância com os critérios de admissão e permanência anteriormente vigentes.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É permitida a permanência, em fundos para investidores qualificados, de cotistas que não se enquadrem nos incisos deste artigo, desde que tais cotistas tenham ingressado até a data de vigência desta Instrução e em concordância com os critérios de admissão e permanência anteriormente vigentes.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Os requisitos a que se refere o caput deverão ser verificados, pelo administrador ou pelo intermediário, no ato de cada aplicação em fundo de investimento de que o investidor não seja cotista, sendo certo que a perda da condição de investidor qualificado não implica a exclusão do cotista do fundo de investimentos.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Art. 110.  O fundo destinado exclusivamente a investidores qualificados, desde que previsto em seu regulamento, pode: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admitir a utilização de títulos e valores mobiliários na integralização e resgate de cotas, com o estabelecimento de critérios detalhados e precisos para adoção desses procedimentos, atendidas ainda, quando existirem, as correspondentes obrigações fiscais;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admitir a utilização de ativos financeiros na integralização e resgate de cotas, com o estabelecimento de critérios detalhados e precisos para adoção desses procedimentos, atendidas ainda, quando existirem, as correspondentes obrigações fiscais;</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 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dispensar a elaboração de prospecto, assegurando que as informações previstas nos incisos III, VI e XI do art. 40 </w:t>
      </w:r>
      <w:proofErr w:type="gramStart"/>
      <w:r>
        <w:rPr>
          <w:rFonts w:ascii="Times New Roman" w:hAnsi="Times New Roman"/>
          <w:strike/>
        </w:rPr>
        <w:t>estejam</w:t>
      </w:r>
      <w:proofErr w:type="gramEnd"/>
      <w:r>
        <w:rPr>
          <w:rFonts w:ascii="Times New Roman" w:hAnsi="Times New Roman"/>
          <w:strike/>
        </w:rPr>
        <w:t xml:space="preserve"> contempladas no regulamento;</w:t>
      </w:r>
    </w:p>
    <w:p w:rsidR="00B2445D" w:rsidRDefault="00B2445D" w:rsidP="00B2445D">
      <w:pPr>
        <w:pStyle w:val="NormalWeb"/>
        <w:ind w:left="360"/>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dispensar a elaboração de prospecto, assegurando que as informações previstas nos incisos III, VI, XI e XV do art. 40 </w:t>
      </w:r>
      <w:proofErr w:type="gramStart"/>
      <w:r>
        <w:rPr>
          <w:rFonts w:ascii="Times New Roman" w:hAnsi="Times New Roman"/>
        </w:rPr>
        <w:t>estejam</w:t>
      </w:r>
      <w:proofErr w:type="gramEnd"/>
      <w:r>
        <w:rPr>
          <w:rFonts w:ascii="Times New Roman" w:hAnsi="Times New Roman"/>
        </w:rPr>
        <w:t xml:space="preserve"> contempladas no regulamento;</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Inciso II com redação dada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cobrar taxas de administração e de </w:t>
      </w:r>
      <w:proofErr w:type="gramStart"/>
      <w:r>
        <w:rPr>
          <w:rFonts w:ascii="Times New Roman" w:hAnsi="Times New Roman"/>
        </w:rPr>
        <w:t>performance</w:t>
      </w:r>
      <w:proofErr w:type="gramEnd"/>
      <w:r>
        <w:rPr>
          <w:rFonts w:ascii="Times New Roman" w:hAnsi="Times New Roman"/>
        </w:rPr>
        <w:t>, conforme estabelecido em seu regulamento; 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IV – estabelecer prazos para apuração do valor da cota e para pagamento dos resgates diferentes daqueles </w:t>
      </w:r>
      <w:proofErr w:type="gramStart"/>
      <w:r>
        <w:rPr>
          <w:rFonts w:ascii="Times New Roman" w:hAnsi="Times New Roman"/>
          <w:strike/>
        </w:rPr>
        <w:t>o previstos</w:t>
      </w:r>
      <w:proofErr w:type="gramEnd"/>
      <w:r>
        <w:rPr>
          <w:rFonts w:ascii="Times New Roman" w:hAnsi="Times New Roman"/>
          <w:strike/>
        </w:rPr>
        <w:t xml:space="preserv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estabelecer prazos para conversão de cota e para pagamento dos resgates diferentes daqueles previstos nesta Instrução.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4"/>
        </w:numPr>
        <w:ind w:left="0" w:firstLine="567"/>
        <w:jc w:val="both"/>
        <w:rPr>
          <w:rFonts w:ascii="Times New Roman" w:hAnsi="Times New Roman"/>
          <w:b/>
        </w:rPr>
      </w:pPr>
      <w:r>
        <w:rPr>
          <w:rFonts w:ascii="Times New Roman" w:hAnsi="Times New Roman"/>
          <w:b/>
        </w:rPr>
        <w:t xml:space="preserve">Inciso IV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110-A.</w:t>
      </w:r>
      <w:proofErr w:type="gramStart"/>
      <w:r>
        <w:rPr>
          <w:rFonts w:ascii="Times New Roman" w:hAnsi="Times New Roman"/>
        </w:rPr>
        <w:t xml:space="preserve">  </w:t>
      </w:r>
      <w:proofErr w:type="gramEnd"/>
      <w:r>
        <w:rPr>
          <w:rFonts w:ascii="Times New Roman" w:hAnsi="Times New Roman"/>
        </w:rPr>
        <w:t>Sem prejuízo do disposto no art. 98, o limite estabelecido no inciso I do art. 87 será computado em dobro nos fundos de investimento de que trata este Capítulo.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110-A acrescentado pela Instrução CVM nº 450, de 30 de março de 2007.</w:t>
      </w:r>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110-B.</w:t>
      </w:r>
      <w:proofErr w:type="gramStart"/>
      <w:r>
        <w:rPr>
          <w:rFonts w:ascii="Times New Roman" w:hAnsi="Times New Roman"/>
          <w:strike/>
        </w:rPr>
        <w:t xml:space="preserve">  </w:t>
      </w:r>
      <w:proofErr w:type="gramEnd"/>
      <w:r>
        <w:rPr>
          <w:rFonts w:ascii="Times New Roman" w:hAnsi="Times New Roman"/>
          <w:strike/>
        </w:rPr>
        <w:t xml:space="preserve">Os limites de concentração por emissor e por modalidade de ativo estabelecidos nos </w:t>
      </w:r>
      <w:proofErr w:type="spellStart"/>
      <w:r>
        <w:rPr>
          <w:rFonts w:ascii="Times New Roman" w:hAnsi="Times New Roman"/>
          <w:strike/>
        </w:rPr>
        <w:t>arts</w:t>
      </w:r>
      <w:proofErr w:type="spellEnd"/>
      <w:r>
        <w:rPr>
          <w:rFonts w:ascii="Times New Roman" w:hAnsi="Times New Roman"/>
          <w:strike/>
        </w:rPr>
        <w:t>. 86 e 87 desta Instrução não se aplicam aos fundos de que trata este Capítulo cujo regulamento exija investimento mínimo, por investidor, de R$ 1.000.000,00 (um milhão de reais), que deverá, entretanto, observar a classificação de que trata o art. 92, mantendo sua carteira adequada a tal classificação e à sua política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Parágrafo único. Desde que previsto no regulamento, os ativos financeiros componentes da carteira deste fundo poderão não contar com liquidação financeira obrigatória (art. 2º, §2º) desde que o administrador tome as medidas e contrate as garantias necessárias para, preservando os direitos do fundo, impedir o ingresso em sua carteira de ativos diversos dos ativos financeiros descritos no art. 2º.</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strike/>
        </w:rPr>
      </w:pPr>
      <w:r>
        <w:rPr>
          <w:rFonts w:ascii="Times New Roman" w:hAnsi="Times New Roman"/>
          <w:b/>
          <w:strike/>
        </w:rPr>
        <w:t>Parágrafo único revogado pela Instrução CVM nº 456, de 22 de junho de 2007.</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14"/>
        </w:numPr>
        <w:ind w:left="0" w:firstLine="567"/>
        <w:jc w:val="both"/>
        <w:rPr>
          <w:rFonts w:ascii="Times New Roman" w:hAnsi="Times New Roman"/>
          <w:b/>
          <w:strike/>
        </w:rPr>
      </w:pPr>
      <w:r>
        <w:rPr>
          <w:rFonts w:ascii="Times New Roman" w:hAnsi="Times New Roman"/>
          <w:b/>
          <w:strike/>
        </w:rPr>
        <w:t>Art. 110-B acrescentado pela Instrução CVM nº 450, de 30 de março de 2007.</w:t>
      </w:r>
    </w:p>
    <w:p w:rsidR="00B2445D" w:rsidRDefault="00B2445D" w:rsidP="00B2445D">
      <w:pPr>
        <w:pStyle w:val="BodyTextIndent2"/>
        <w:tabs>
          <w:tab w:val="left" w:leader="dot" w:pos="5103"/>
        </w:tabs>
        <w:ind w:firstLine="539"/>
      </w:pPr>
    </w:p>
    <w:p w:rsidR="00B2445D" w:rsidRDefault="00B2445D" w:rsidP="00B2445D">
      <w:pPr>
        <w:pStyle w:val="BodyTextIndent2"/>
        <w:tabs>
          <w:tab w:val="left" w:leader="dot" w:pos="5103"/>
        </w:tabs>
        <w:spacing w:after="240"/>
        <w:ind w:firstLine="539"/>
      </w:pPr>
      <w:r>
        <w:t>Art. 110-B</w:t>
      </w:r>
      <w:proofErr w:type="gramStart"/>
      <w:r>
        <w:t xml:space="preserve">  </w:t>
      </w:r>
      <w:proofErr w:type="gramEnd"/>
      <w:r>
        <w:t>Os regulamentos dos fundos de que trata este Capítulo que exijam investimento mínimo, por investidor, de R$ 1.000.000,00 (um milhão de reais</w:t>
      </w:r>
      <w:r>
        <w:rPr>
          <w:color w:val="000000"/>
        </w:rPr>
        <w:t>), poderão prever:</w:t>
      </w:r>
    </w:p>
    <w:p w:rsidR="00B2445D" w:rsidRDefault="00B2445D" w:rsidP="00B2445D">
      <w:pPr>
        <w:pStyle w:val="BodyTextIndent2"/>
        <w:tabs>
          <w:tab w:val="left" w:leader="dot" w:pos="5103"/>
        </w:tabs>
        <w:spacing w:before="240" w:after="240"/>
        <w:ind w:left="540" w:firstLine="0"/>
      </w:pPr>
      <w:r>
        <w:t xml:space="preserve">I – a não observância dos limites de concentração por emissor e por modalidade de ativo financeiro estabelecidos nos artigos 86 e 87; </w:t>
      </w:r>
      <w:proofErr w:type="gramStart"/>
      <w:r>
        <w:t>e</w:t>
      </w:r>
      <w:proofErr w:type="gramEnd"/>
    </w:p>
    <w:p w:rsidR="00B2445D" w:rsidRDefault="00B2445D" w:rsidP="00B2445D">
      <w:pPr>
        <w:pStyle w:val="BodyTextIndent2"/>
        <w:tabs>
          <w:tab w:val="left" w:leader="dot" w:pos="5103"/>
        </w:tabs>
        <w:spacing w:before="240" w:after="240"/>
        <w:ind w:left="540" w:firstLine="0"/>
      </w:pPr>
      <w:r>
        <w:t xml:space="preserve">II – a aplicação ilimitada de recursos no exterior, hipótese em que o fundo deverá acrescentar à sua denominação a expressão “Investimento no Exterior”.  </w:t>
      </w: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O uso de qualquer das faculdades previstas nos incisos I e II do </w:t>
      </w:r>
      <w:r>
        <w:rPr>
          <w:rFonts w:ascii="Times New Roman" w:hAnsi="Times New Roman"/>
          <w:b/>
        </w:rPr>
        <w:t>caput</w:t>
      </w:r>
      <w:r>
        <w:rPr>
          <w:rFonts w:ascii="Times New Roman" w:hAnsi="Times New Roman"/>
        </w:rPr>
        <w:t xml:space="preserve"> não dispensa o fundo de observar a classificação de que trata o artigo 92 e de manter sua carteira adequada a tal classificação e à sua política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110-B com redação dada pela Instrução CVM nº 465, de 20 de fevereiro de 2008.</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111.  O regulamento do fundo destinado exclusivamente a investidores qualificados</w:t>
      </w:r>
      <w:proofErr w:type="gramStart"/>
      <w:r>
        <w:rPr>
          <w:rFonts w:ascii="Times New Roman" w:hAnsi="Times New Roman"/>
        </w:rPr>
        <w:t>, deve</w:t>
      </w:r>
      <w:proofErr w:type="gramEnd"/>
      <w:r>
        <w:rPr>
          <w:rFonts w:ascii="Times New Roman" w:hAnsi="Times New Roman"/>
        </w:rPr>
        <w:t xml:space="preserve"> ser explícito no que se refere à exclusiva participação dos investidores de que trata o art. 109.</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Seção II</w:t>
      </w:r>
    </w:p>
    <w:p w:rsidR="00B2445D" w:rsidRDefault="00B2445D" w:rsidP="00B2445D">
      <w:pPr>
        <w:pStyle w:val="NormalWeb"/>
        <w:ind w:firstLine="567"/>
        <w:jc w:val="center"/>
        <w:rPr>
          <w:rFonts w:ascii="Times New Roman" w:hAnsi="Times New Roman"/>
        </w:rPr>
      </w:pPr>
      <w:r>
        <w:rPr>
          <w:rFonts w:ascii="Times New Roman" w:hAnsi="Times New Roman"/>
        </w:rPr>
        <w:t>Dos Fundos Exclusivos</w:t>
      </w:r>
    </w:p>
    <w:p w:rsidR="00B2445D" w:rsidRDefault="00B2445D" w:rsidP="00B2445D">
      <w:pPr>
        <w:pStyle w:val="NormalWeb"/>
        <w:ind w:firstLine="567"/>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Seção II acrescentada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111-A.</w:t>
      </w:r>
      <w:proofErr w:type="gramStart"/>
      <w:r>
        <w:rPr>
          <w:rFonts w:ascii="Times New Roman" w:hAnsi="Times New Roman"/>
        </w:rPr>
        <w:t xml:space="preserve">  </w:t>
      </w:r>
      <w:proofErr w:type="gramEnd"/>
      <w:r>
        <w:rPr>
          <w:rFonts w:ascii="Times New Roman" w:hAnsi="Times New Roman"/>
        </w:rPr>
        <w:t>Consideram-se “Exclusivos” os fundos para investidores qualificados constituídos para receber aplicações exclusivamente de um único cotista.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1º</w:t>
      </w:r>
      <w:proofErr w:type="gramStart"/>
      <w:r>
        <w:rPr>
          <w:rFonts w:ascii="Times New Roman" w:hAnsi="Times New Roman"/>
        </w:rPr>
        <w:t xml:space="preserve">  </w:t>
      </w:r>
      <w:proofErr w:type="gramEnd"/>
      <w:r>
        <w:rPr>
          <w:rFonts w:ascii="Times New Roman" w:hAnsi="Times New Roman"/>
        </w:rPr>
        <w:t>Na emissão e no resgate de cotas do fundo exclusivo poderá ser utilizado o valor de cota apurado de acordo com o disposto no § 3º do art. 10, segundo dispuser 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O disposto no § 1º não se aplica caso o fundo exclusivo tenha como cotista outro fundo de investimento que não esteja autorizado a utilizar a faculdade prevista no § 3º do art. 10.</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3º</w:t>
      </w:r>
      <w:proofErr w:type="gramStart"/>
      <w:r>
        <w:rPr>
          <w:rFonts w:ascii="Times New Roman" w:hAnsi="Times New Roman"/>
        </w:rPr>
        <w:t xml:space="preserve">  </w:t>
      </w:r>
      <w:proofErr w:type="gramEnd"/>
      <w:r>
        <w:rPr>
          <w:rFonts w:ascii="Times New Roman" w:hAnsi="Times New Roman"/>
        </w:rPr>
        <w:t>Os limites de concentração por emissor e por modalidade de ativo não se aplicam aos fundos de que trata este artigo, que deverá, entretanto, observar a classificação de que trata o art. 92, mantendo sua carteira adequada a tal classificação e à sua política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4º Desde que previsto no regulamento, os ativos financeiros componentes da carteira deste fundo poderão não contar com liquidação financeira obrigatória (art. 2º, §2º) desde que o administrador tome as medidas e contrate as garantias necessárias para, preservando os direitos do fundo, impedir o ingresso em sua carteira de ativos diversos dos ativos financeiros descritos no art. 2º.</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111-A inserido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4º revogado pela Instrução CVM nº 465, de 20 de fevereiro de 2008.</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XIII</w:t>
      </w:r>
    </w:p>
    <w:p w:rsidR="00B2445D" w:rsidRDefault="00B2445D" w:rsidP="00B2445D">
      <w:pPr>
        <w:pStyle w:val="NormalWeb"/>
        <w:ind w:firstLine="567"/>
        <w:jc w:val="center"/>
        <w:rPr>
          <w:rFonts w:ascii="Times New Roman" w:hAnsi="Times New Roman"/>
          <w:b/>
        </w:rPr>
      </w:pPr>
      <w:r>
        <w:rPr>
          <w:rFonts w:ascii="Times New Roman" w:hAnsi="Times New Roman"/>
          <w:b/>
        </w:rPr>
        <w:t>DO FUNDO DE INVESTIMENTO EM COTAS DE FUNDOS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112.  O fundo de investimento em cotas de fundos de investimento deverá manter, no mínimo, 95% (noventa e cinco por cento) de seu patrimônio investido em cotas de fundos de investimento de uma mesma classe, exceto os fundos de investimento em cotas classificados como "Multimercado", que podem investir em cotas de fundos de classes distintas.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Os restantes 5% (cinco por cento) do patrimônio do fundo poderão ser mantidos em depósitos à vista ou aplicados em: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títulos públicos federais;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títulos de renda fixa de emissão de instituição financeira;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operações compromissadas, de acordo com a regulação específica do Conselho Monetário Nacional - CMN.</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Deverá constar da denominação do fundo a expressão "Fundo de Investimento em Cotas de Fundos de Investimento" acrescida da classe dos fundos investidos de acordo com regulamentação específica.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Os percentuais referidos neste artigo deverão ser cumpridos diariamente, com base no patrimônio líquido do fundo do dia imediatamente anterior.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§4o</w:t>
      </w:r>
      <w:proofErr w:type="gramStart"/>
      <w:r>
        <w:rPr>
          <w:rFonts w:ascii="Times New Roman" w:hAnsi="Times New Roman"/>
        </w:rPr>
        <w:t xml:space="preserve">  </w:t>
      </w:r>
      <w:proofErr w:type="gramEnd"/>
      <w:r>
        <w:rPr>
          <w:rFonts w:ascii="Times New Roman" w:hAnsi="Times New Roman"/>
        </w:rPr>
        <w:t>Ficam vedadas as aplicações em cotas 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Fundos de Investimento em Participações;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Fundos de Investimento em Cotas de Fundos de Investimento em Participações;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Fundos de Investimento em Direitos Creditórios;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IV – Fundos de Investimento em Direitos Creditórios no Âmbito do Programa de Incentivo à </w:t>
      </w:r>
      <w:proofErr w:type="gramStart"/>
      <w:r>
        <w:rPr>
          <w:rFonts w:ascii="Times New Roman" w:hAnsi="Times New Roman"/>
        </w:rPr>
        <w:t>Implementação</w:t>
      </w:r>
      <w:proofErr w:type="gramEnd"/>
      <w:r>
        <w:rPr>
          <w:rFonts w:ascii="Times New Roman" w:hAnsi="Times New Roman"/>
        </w:rPr>
        <w:t xml:space="preserve"> de Projetos de Interesse Social;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Fundos de Investimento em Cotas de Fundos de Investimento em Direitos Creditórios;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Fundos de Financiamento da Indústria Cinematográfica Nacional;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Fundos Mútuos de Privatização – FGTS;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VIII – Fundos Mútuos de Privatização – FGTS – Carteira Livre;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IX – Fundos de Investimento em Empresas Emergentes;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 – Fundos Mútuos de Investimento em Empresas Emergentes - Capital Estrangeiro;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 – Fundos de Conversão;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XII – Fundos de Investimento Imobiliário;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XIII – Fundos de Privatização - Capital Estrangeiro;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XIV – Fundos Mútuos de Ações Incentivadas;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 – Fundos de Investimento Cultural e Artístico;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XVI – Fundos de Investimento em Empresas Emergentes Inovadoras;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XVII – Fundos de Aposentadoria Individual Programada – FAPI;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XVIII – Fundos de Investimento em Diretos Creditórios Não-Padronizados.</w:t>
      </w:r>
    </w:p>
    <w:p w:rsidR="00B2445D" w:rsidRDefault="00B2445D" w:rsidP="00B2445D">
      <w:pPr>
        <w:pStyle w:val="NormalWeb"/>
        <w:jc w:val="both"/>
        <w:rPr>
          <w:rFonts w:ascii="Times New Roman" w:hAnsi="Times New Roman"/>
          <w:i/>
        </w:rPr>
      </w:pPr>
    </w:p>
    <w:p w:rsidR="00B2445D" w:rsidRDefault="00B2445D" w:rsidP="00B2445D">
      <w:pPr>
        <w:pStyle w:val="NormalWeb"/>
        <w:numPr>
          <w:ilvl w:val="0"/>
          <w:numId w:val="1"/>
        </w:numPr>
        <w:ind w:left="0" w:firstLine="567"/>
        <w:jc w:val="both"/>
        <w:rPr>
          <w:rFonts w:ascii="Times New Roman" w:hAnsi="Times New Roman"/>
        </w:rPr>
      </w:pPr>
      <w:r>
        <w:rPr>
          <w:rFonts w:ascii="Times New Roman" w:hAnsi="Times New Roman"/>
          <w:b/>
        </w:rPr>
        <w:t xml:space="preserve">Incisos XVI, XVII e XVIII acrescentados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strike/>
        </w:rPr>
      </w:pPr>
      <w:r>
        <w:rPr>
          <w:rFonts w:ascii="Times New Roman" w:hAnsi="Times New Roman"/>
          <w:strike/>
        </w:rPr>
        <w:t>§5º</w:t>
      </w:r>
      <w:proofErr w:type="gramStart"/>
      <w:r>
        <w:rPr>
          <w:rFonts w:ascii="Times New Roman" w:hAnsi="Times New Roman"/>
          <w:strike/>
        </w:rPr>
        <w:t xml:space="preserve">  </w:t>
      </w:r>
      <w:proofErr w:type="gramEnd"/>
      <w:r>
        <w:rPr>
          <w:rFonts w:ascii="Times New Roman" w:hAnsi="Times New Roman"/>
          <w:strike/>
        </w:rPr>
        <w:t xml:space="preserve">Os fundos de cotas classificados como "Renda Fixa" e "Multimercado" podem investir, até o limite de 10% do patrimônio líquido, em cotas de fundo de investimento imobiliário, em fundos de investimento em direitos creditórios e em fundos de investimento em cotas de fundos de investimento em direitos creditórios desde que previsto em seus regulamentos.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§5º</w:t>
      </w:r>
      <w:proofErr w:type="gramStart"/>
      <w:r>
        <w:rPr>
          <w:rFonts w:ascii="Times New Roman" w:hAnsi="Times New Roman"/>
          <w:strike/>
        </w:rPr>
        <w:t xml:space="preserve">  </w:t>
      </w:r>
      <w:proofErr w:type="gramEnd"/>
      <w:r>
        <w:rPr>
          <w:rFonts w:ascii="Times New Roman" w:hAnsi="Times New Roman"/>
          <w:strike/>
        </w:rPr>
        <w:t xml:space="preserve">Os fundos de investimento em cotas classificados como "Renda Fixa" e "Multimercado" podem investir, até o limite de 10% do patrimônio líquido, em cotas de fundo de investimento imobiliário, em fundos de investimento em direitos creditórios e em fundos de </w:t>
      </w:r>
      <w:r>
        <w:rPr>
          <w:rFonts w:ascii="Times New Roman" w:hAnsi="Times New Roman"/>
          <w:strike/>
        </w:rPr>
        <w:lastRenderedPageBreak/>
        <w:t>investimento em cotas de fundos de investimento em direitos creditórios desde que previsto em seus regulamentos.</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55"/>
        </w:numPr>
        <w:ind w:left="0" w:firstLine="567"/>
        <w:jc w:val="both"/>
        <w:rPr>
          <w:rFonts w:ascii="Times New Roman" w:hAnsi="Times New Roman"/>
          <w:b/>
        </w:rPr>
      </w:pPr>
      <w:r>
        <w:rPr>
          <w:rFonts w:ascii="Times New Roman" w:hAnsi="Times New Roman"/>
          <w:b/>
          <w:strike/>
        </w:rPr>
        <w:t>§5º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b/>
          <w:highlight w:val="yellow"/>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Os fundos de investimento em cotas classificados como "Renda Fixa" e "Multimercado" podem investir, até o limite de 20% do patrimônio líquido, em cotas de fundo de investimento imobiliário, de fundos de investimento em direitos creditórios e de fundos de investimento em cotas de fundos de investimento em direitos creditórios desde que previsto em seus regulamentos.</w:t>
      </w:r>
    </w:p>
    <w:p w:rsidR="00B2445D" w:rsidRDefault="00B2445D" w:rsidP="00B2445D">
      <w:pPr>
        <w:pStyle w:val="NormalWeb"/>
        <w:jc w:val="both"/>
        <w:rPr>
          <w:rFonts w:ascii="Times New Roman" w:hAnsi="Times New Roman"/>
          <w:b/>
          <w:highlight w:val="yellow"/>
        </w:rPr>
      </w:pPr>
    </w:p>
    <w:p w:rsidR="00B2445D" w:rsidRDefault="00B2445D" w:rsidP="00B2445D">
      <w:pPr>
        <w:pStyle w:val="NormalWeb"/>
        <w:numPr>
          <w:ilvl w:val="0"/>
          <w:numId w:val="55"/>
        </w:numPr>
        <w:jc w:val="both"/>
        <w:rPr>
          <w:rFonts w:ascii="Times New Roman" w:hAnsi="Times New Roman"/>
          <w:b/>
        </w:rPr>
      </w:pPr>
      <w:r>
        <w:rPr>
          <w:rFonts w:ascii="Times New Roman" w:hAnsi="Times New Roman"/>
          <w:b/>
        </w:rPr>
        <w:t xml:space="preserve">§5º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Os fundos de cotas classificados de acordo com o art. 116 e os fundos de cotas classificados como "Multimercados", desde que destinados exclusivamente a investidores qualificados, poderão adquirir cotas de Fundos Mútuos de Investimento em Empresas Emergentes, Fundos de Investimento Imobiliário, Fundos de Investimento em Participações, Fundos de Investimento em Direitos Creditórios e Fundos de Investimento em Cotas de Fundos de Investimento em Direitos Creditórios nos limites previstos nos seus regulamentos e prospectos, se houver.</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§6</w:t>
      </w:r>
      <w:r>
        <w:rPr>
          <w:rFonts w:ascii="Times New Roman" w:hAnsi="Times New Roman"/>
          <w:strike/>
          <w:vertAlign w:val="superscript"/>
        </w:rPr>
        <w:t>o</w:t>
      </w:r>
      <w:proofErr w:type="gramStart"/>
      <w:r>
        <w:rPr>
          <w:rFonts w:ascii="Times New Roman" w:hAnsi="Times New Roman"/>
          <w:strike/>
          <w:vertAlign w:val="superscript"/>
        </w:rPr>
        <w:t xml:space="preserve">  </w:t>
      </w:r>
      <w:proofErr w:type="gramEnd"/>
      <w:r>
        <w:rPr>
          <w:rFonts w:ascii="Times New Roman" w:hAnsi="Times New Roman"/>
          <w:strike/>
        </w:rPr>
        <w:t>Os fundos de investimento em cotas classificados de acordo com o art. 116 e os fundos de investimento em cotas classificados como "Multimercados", desde que destinados exclusivamente a investidores qualificados, poderão adquirir cotas de Fundos Mútuos de Investimento em Empresas Emergentes, Fundos de Investimento Imobiliário, Fundos de Investimento em Participações, Fundos de Investimento em Direitos Creditórios e Fundos de Investimento em Cotas de Fundos de Investimento em Direitos Creditórios nos limites previstos nos seus regulamentos e prospectos, se houver.</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56"/>
        </w:numPr>
        <w:ind w:left="0" w:firstLine="567"/>
        <w:jc w:val="both"/>
        <w:rPr>
          <w:rFonts w:ascii="Times New Roman" w:hAnsi="Times New Roman"/>
          <w:b/>
        </w:rPr>
      </w:pPr>
      <w:r>
        <w:rPr>
          <w:rFonts w:ascii="Times New Roman" w:hAnsi="Times New Roman"/>
          <w:b/>
          <w:strike/>
        </w:rPr>
        <w:t>§6º</w:t>
      </w:r>
      <w:proofErr w:type="gramStart"/>
      <w:r>
        <w:rPr>
          <w:rFonts w:ascii="Times New Roman" w:hAnsi="Times New Roman"/>
          <w:b/>
          <w:strike/>
        </w:rPr>
        <w:t xml:space="preserve">  </w:t>
      </w:r>
      <w:proofErr w:type="gramEnd"/>
      <w:r>
        <w:rPr>
          <w:rFonts w:ascii="Times New Roman" w:hAnsi="Times New Roman"/>
          <w:b/>
          <w:strike/>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highlight w:val="yellow"/>
        </w:rPr>
      </w:pPr>
      <w:r>
        <w:rPr>
          <w:rFonts w:ascii="Times New Roman" w:hAnsi="Times New Roman"/>
        </w:rPr>
        <w:t>§6</w:t>
      </w:r>
      <w:r>
        <w:rPr>
          <w:rFonts w:ascii="Times New Roman" w:hAnsi="Times New Roman"/>
          <w:vertAlign w:val="superscript"/>
        </w:rPr>
        <w:t>o</w:t>
      </w:r>
      <w:proofErr w:type="gramStart"/>
      <w:r>
        <w:rPr>
          <w:rFonts w:ascii="Times New Roman" w:hAnsi="Times New Roman"/>
          <w:vertAlign w:val="superscript"/>
        </w:rPr>
        <w:t xml:space="preserve">  </w:t>
      </w:r>
      <w:proofErr w:type="gramEnd"/>
      <w:r>
        <w:rPr>
          <w:rFonts w:ascii="Times New Roman" w:hAnsi="Times New Roman"/>
        </w:rPr>
        <w:t xml:space="preserve">Os fundos de investimento em cotas classificados de acordo com o art. 111-A e os fundos de investimento em cotas classificados como "Multimercados", desde que destinados exclusivamente a investidores qualificados, poderão adquirir cotas de Fundos Mútuos de Investimento em Empresas Emergentes, Fundos de Investimento Imobiliário, Fundos de Investimento em Participações, Fundos de Investimento em Direitos Creditórios e Fundos de Investimento em Cotas de Fundos de Investimento em Direitos Creditórios nos limites previstos nos seus regulamentos e prospectos, se houver. </w:t>
      </w:r>
    </w:p>
    <w:p w:rsidR="00B2445D" w:rsidRDefault="00B2445D" w:rsidP="00B2445D">
      <w:pPr>
        <w:pStyle w:val="NormalWeb"/>
        <w:jc w:val="both"/>
        <w:rPr>
          <w:rFonts w:ascii="Times New Roman" w:hAnsi="Times New Roman"/>
          <w:b/>
          <w:highlight w:val="yellow"/>
        </w:rPr>
      </w:pPr>
    </w:p>
    <w:p w:rsidR="00B2445D" w:rsidRDefault="00B2445D" w:rsidP="00B2445D">
      <w:pPr>
        <w:pStyle w:val="NormalWeb"/>
        <w:numPr>
          <w:ilvl w:val="0"/>
          <w:numId w:val="56"/>
        </w:numPr>
        <w:jc w:val="both"/>
        <w:rPr>
          <w:rFonts w:ascii="Times New Roman" w:hAnsi="Times New Roman"/>
          <w:b/>
        </w:rPr>
      </w:pPr>
      <w:r>
        <w:rPr>
          <w:rFonts w:ascii="Times New Roman" w:hAnsi="Times New Roman"/>
          <w:b/>
        </w:rPr>
        <w:t>§6º com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§7º</w:t>
      </w:r>
      <w:proofErr w:type="gramStart"/>
      <w:r>
        <w:rPr>
          <w:rFonts w:ascii="Times New Roman" w:hAnsi="Times New Roman"/>
        </w:rPr>
        <w:t xml:space="preserve">  </w:t>
      </w:r>
      <w:proofErr w:type="gramEnd"/>
      <w:r>
        <w:rPr>
          <w:rFonts w:ascii="Times New Roman" w:hAnsi="Times New Roman"/>
        </w:rPr>
        <w:t>Ficam vedadas as aplicações em cotas de fundos que invistam no fundo investidor.</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113.  O fundo que adquirir cotas de fundos que cobrem taxa de </w:t>
      </w:r>
      <w:proofErr w:type="gramStart"/>
      <w:r>
        <w:rPr>
          <w:rFonts w:ascii="Times New Roman" w:hAnsi="Times New Roman"/>
          <w:strike/>
        </w:rPr>
        <w:t>performance</w:t>
      </w:r>
      <w:proofErr w:type="gramEnd"/>
      <w:r>
        <w:rPr>
          <w:rFonts w:ascii="Times New Roman" w:hAnsi="Times New Roman"/>
          <w:strike/>
        </w:rPr>
        <w:t xml:space="preserve"> deverá atender às condições estipuladas no art.62, ou ser destinado exclusivamente a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113.  O fundo de investimento em cotas que adquirir cotas de fundos que cobrem taxa de </w:t>
      </w:r>
      <w:proofErr w:type="gramStart"/>
      <w:r>
        <w:rPr>
          <w:rFonts w:ascii="Times New Roman" w:hAnsi="Times New Roman"/>
        </w:rPr>
        <w:t>performance</w:t>
      </w:r>
      <w:proofErr w:type="gramEnd"/>
      <w:r>
        <w:rPr>
          <w:rFonts w:ascii="Times New Roman" w:hAnsi="Times New Roman"/>
        </w:rPr>
        <w:t xml:space="preserve"> deverá atender às condições estipuladas no art.62, ou ser destinado exclusivamente a investidores qualificados.</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7"/>
        </w:numPr>
        <w:ind w:left="0" w:firstLine="567"/>
        <w:jc w:val="both"/>
        <w:rPr>
          <w:rFonts w:ascii="Times New Roman" w:hAnsi="Times New Roman"/>
          <w:b/>
        </w:rPr>
      </w:pPr>
      <w:r>
        <w:rPr>
          <w:rFonts w:ascii="Times New Roman" w:hAnsi="Times New Roman"/>
          <w:b/>
        </w:rPr>
        <w:t xml:space="preserve">Artigo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114.  O prospecto e o regulamento do fundo de cotas devem especificar o percentual máximo do patrimônio que pode ser aplicado em um só fundo de investimento.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114.  O prospecto e o regulamento do fundo de investimento em cotas devem especificar o percentual máximo do patrimônio que pode ser aplicado em um só fundo de investimento.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58"/>
        </w:numPr>
        <w:ind w:left="0" w:firstLine="567"/>
        <w:jc w:val="both"/>
        <w:rPr>
          <w:rFonts w:ascii="Times New Roman" w:hAnsi="Times New Roman"/>
          <w:b/>
        </w:rPr>
      </w:pPr>
      <w:r>
        <w:rPr>
          <w:rFonts w:ascii="Times New Roman" w:hAnsi="Times New Roman"/>
          <w:b/>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w:t>
      </w:r>
      <w:r>
        <w:rPr>
          <w:rFonts w:ascii="Times New Roman" w:hAnsi="Times New Roman"/>
          <w:strike/>
          <w:vertAlign w:val="superscript"/>
        </w:rPr>
        <w:t>o</w:t>
      </w:r>
      <w:proofErr w:type="gramStart"/>
      <w:r>
        <w:rPr>
          <w:rFonts w:ascii="Times New Roman" w:hAnsi="Times New Roman"/>
          <w:strike/>
        </w:rPr>
        <w:t xml:space="preserve">  </w:t>
      </w:r>
      <w:proofErr w:type="gramEnd"/>
      <w:r>
        <w:rPr>
          <w:rFonts w:ascii="Times New Roman" w:hAnsi="Times New Roman"/>
          <w:strike/>
        </w:rPr>
        <w:t xml:space="preserve">O prospecto do fundo deve dispor, também, acerca da política de investimento e da taxa de administração dos fundos em que pretenda investir.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O prospecto do fundo de investimento em cotas deve dispor, também, acerca da política de investimento e da taxa de administração dos fundos em que pretenda investir.</w:t>
      </w:r>
    </w:p>
    <w:p w:rsidR="00B2445D" w:rsidRDefault="00B2445D" w:rsidP="00B2445D">
      <w:pPr>
        <w:pStyle w:val="NormalWeb"/>
        <w:jc w:val="both"/>
        <w:rPr>
          <w:rFonts w:ascii="Times New Roman" w:hAnsi="Times New Roman"/>
        </w:rPr>
      </w:pPr>
    </w:p>
    <w:p w:rsidR="00B2445D" w:rsidRDefault="00B2445D" w:rsidP="00B2445D">
      <w:pPr>
        <w:pStyle w:val="NormalWeb"/>
        <w:numPr>
          <w:ilvl w:val="0"/>
          <w:numId w:val="59"/>
        </w:numPr>
        <w:ind w:left="0" w:firstLine="567"/>
        <w:jc w:val="both"/>
        <w:rPr>
          <w:rFonts w:ascii="Times New Roman" w:hAnsi="Times New Roman"/>
          <w:b/>
        </w:rPr>
      </w:pPr>
      <w:r>
        <w:rPr>
          <w:rFonts w:ascii="Times New Roman" w:hAnsi="Times New Roman"/>
          <w:b/>
        </w:rPr>
        <w:t>§1º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w:t>
      </w:r>
      <w:r>
        <w:rPr>
          <w:rFonts w:ascii="Times New Roman" w:hAnsi="Times New Roman"/>
          <w:strike/>
          <w:vertAlign w:val="superscript"/>
        </w:rPr>
        <w:t>o</w:t>
      </w:r>
      <w:proofErr w:type="gramStart"/>
      <w:r>
        <w:rPr>
          <w:rFonts w:ascii="Times New Roman" w:hAnsi="Times New Roman"/>
          <w:strike/>
        </w:rPr>
        <w:t xml:space="preserve">  </w:t>
      </w:r>
      <w:proofErr w:type="gramEnd"/>
      <w:r>
        <w:rPr>
          <w:rFonts w:ascii="Times New Roman" w:hAnsi="Times New Roman"/>
          <w:strike/>
        </w:rPr>
        <w:t>O prospecto do fundo de cotas que aplicar seus recursos em um único fundo de investimento deverá divulgar o somatório da taxa de administração do fundo de cotas e do fundo investido.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w:t>
      </w:r>
      <w:r>
        <w:rPr>
          <w:rFonts w:ascii="Times New Roman" w:hAnsi="Times New Roman"/>
          <w:vertAlign w:val="superscript"/>
        </w:rPr>
        <w:t>o</w:t>
      </w:r>
      <w:proofErr w:type="gramStart"/>
      <w:r>
        <w:rPr>
          <w:rFonts w:ascii="Times New Roman" w:hAnsi="Times New Roman"/>
        </w:rPr>
        <w:t xml:space="preserve">  </w:t>
      </w:r>
      <w:proofErr w:type="gramEnd"/>
      <w:r>
        <w:rPr>
          <w:rFonts w:ascii="Times New Roman" w:hAnsi="Times New Roman"/>
        </w:rPr>
        <w:t>O prospecto do fundo de investimento em cotas que aplicar seus recursos em um único fundo de investimento deverá divulgar o somatório da taxa de administração do fundo de investimento em cotas e do fundo investido.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0"/>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§3º</w:t>
      </w:r>
      <w:proofErr w:type="gramStart"/>
      <w:r>
        <w:rPr>
          <w:rFonts w:ascii="Times New Roman" w:hAnsi="Times New Roman"/>
          <w:strike/>
        </w:rPr>
        <w:t xml:space="preserve">  </w:t>
      </w:r>
      <w:proofErr w:type="gramEnd"/>
      <w:r>
        <w:rPr>
          <w:rFonts w:ascii="Times New Roman" w:hAnsi="Times New Roman"/>
          <w:strike/>
        </w:rPr>
        <w:t xml:space="preserve">O Fundo de Investimento em Cotas de Fundos de Investimento deverá estabelecer em seu regulamento que a taxa de administração cobrada pelo administrador compreende a taxa de </w:t>
      </w:r>
      <w:r>
        <w:rPr>
          <w:rFonts w:ascii="Times New Roman" w:hAnsi="Times New Roman"/>
          <w:strike/>
        </w:rPr>
        <w:lastRenderedPageBreak/>
        <w:t>administração dos Fundos de Investimento em que ele invista, inclusive de outros Fundos de Investimento em Cotas de Fundo de Investimento.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1"/>
        </w:numPr>
        <w:ind w:left="0" w:firstLine="567"/>
        <w:jc w:val="both"/>
        <w:rPr>
          <w:rFonts w:ascii="Times New Roman" w:hAnsi="Times New Roman"/>
          <w:b/>
        </w:rPr>
      </w:pPr>
      <w:r>
        <w:rPr>
          <w:rFonts w:ascii="Times New Roman" w:hAnsi="Times New Roman"/>
          <w:b/>
        </w:rPr>
        <w:t>§3º</w:t>
      </w:r>
      <w:proofErr w:type="gramStart"/>
      <w:r>
        <w:rPr>
          <w:rFonts w:ascii="Times New Roman" w:hAnsi="Times New Roman"/>
          <w:b/>
        </w:rPr>
        <w:t xml:space="preserve">  </w:t>
      </w:r>
      <w:proofErr w:type="gramEnd"/>
      <w:r>
        <w:rPr>
          <w:rFonts w:ascii="Times New Roman" w:hAnsi="Times New Roman"/>
          <w:b/>
        </w:rPr>
        <w:t xml:space="preserve">revogado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115.  O fundo de cotas que aplicar em fundo de investimento que realize operações com derivativos que possam resultar em perdas patrimoniais ou em patrimônio líquido negativo deve explicitar, respectivamente, na capa de seu prospecto e em todo material de divulgação, uma das seguintes advertências, conforme o caso: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115.  O fundo de investimento em cotas que aplicar em fundo de investimento que realize operações com derivativos que possam resultar em perdas patrimoniais ou em patrimônio líquido negativo deve explicitar, respectivamente, na capa de seu prospecto e em todo material de divulgação, uma das seguintes advertências, conforme o caso:</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62"/>
        </w:numPr>
        <w:ind w:left="0" w:firstLine="567"/>
        <w:jc w:val="both"/>
        <w:rPr>
          <w:rFonts w:ascii="Times New Roman" w:hAnsi="Times New Roman"/>
          <w:b/>
          <w:strike/>
        </w:rPr>
      </w:pPr>
      <w:r>
        <w:rPr>
          <w:rFonts w:ascii="Times New Roman" w:hAnsi="Times New Roman"/>
          <w:b/>
          <w:strike/>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 "Este fundo de cotas aplica em fundo de investimento que utiliza estratégias com derivativos como parte integrante de sua política de investimento. Tais estratégias, da forma como são adotadas, podem resultar em perdas patrimoniais para seus cotistas."; </w:t>
      </w:r>
      <w:proofErr w:type="gramStart"/>
      <w:r>
        <w:rPr>
          <w:rFonts w:ascii="Times New Roman" w:hAnsi="Times New Roman"/>
          <w:strike/>
        </w:rPr>
        <w:t>ou</w:t>
      </w:r>
      <w:proofErr w:type="gramEnd"/>
      <w:r>
        <w:rPr>
          <w:rFonts w:ascii="Times New Roman" w:hAnsi="Times New Roman"/>
          <w:strike/>
        </w:rPr>
        <w:t xml:space="preserve">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II – "Este fundo de cotas aplica em fundo de investimento que utiliza estratégias com derivativos como parte integrante de sua política de investimento. Tais estratégias, da forma como são adotadas, podem resultar em perdas patrimoniais para seus cotistas, podendo inclusive acarretar perdas superiores ao capital aplicado e a </w:t>
      </w:r>
      <w:proofErr w:type="spellStart"/>
      <w:r>
        <w:rPr>
          <w:rFonts w:ascii="Times New Roman" w:hAnsi="Times New Roman"/>
          <w:strike/>
        </w:rPr>
        <w:t>conseqüente</w:t>
      </w:r>
      <w:proofErr w:type="spellEnd"/>
      <w:r>
        <w:rPr>
          <w:rFonts w:ascii="Times New Roman" w:hAnsi="Times New Roman"/>
          <w:strike/>
        </w:rPr>
        <w:t xml:space="preserve"> obrigação do cotista de aportar recursos adicionais.</w:t>
      </w:r>
      <w:proofErr w:type="gramStart"/>
      <w:r>
        <w:rPr>
          <w:rFonts w:ascii="Times New Roman" w:hAnsi="Times New Roman"/>
          <w:strike/>
        </w:rPr>
        <w:t>"</w:t>
      </w:r>
      <w:proofErr w:type="gramEnd"/>
      <w:r>
        <w:rPr>
          <w:rFonts w:ascii="Times New Roman" w:hAnsi="Times New Roman"/>
          <w:strike/>
        </w:rPr>
        <w:t xml:space="preserve"> </w:t>
      </w:r>
    </w:p>
    <w:p w:rsidR="00B2445D" w:rsidRDefault="00B2445D" w:rsidP="00B2445D">
      <w:pPr>
        <w:pStyle w:val="BodyTextIndent2"/>
        <w:tabs>
          <w:tab w:val="left" w:leader="dot" w:pos="5103"/>
        </w:tabs>
        <w:ind w:firstLine="540"/>
      </w:pPr>
    </w:p>
    <w:p w:rsidR="00B2445D" w:rsidRDefault="00B2445D" w:rsidP="00B2445D">
      <w:pPr>
        <w:pStyle w:val="BodyTextIndent2"/>
        <w:tabs>
          <w:tab w:val="left" w:leader="dot" w:pos="5103"/>
        </w:tabs>
        <w:ind w:firstLine="540"/>
      </w:pPr>
      <w:r>
        <w:t xml:space="preserve">Art. 115.  O fundo de investimento em cotas que aplicar em fundo de investimento que realize operações que possam resultar em perdas patrimoniais ou, em especial, levar à ocorrência </w:t>
      </w:r>
      <w:r>
        <w:lastRenderedPageBreak/>
        <w:t xml:space="preserve">de patrimônio líquido negativo, deve inserir na capa de seu prospecto, de forma clara, legível e em destaque, uma das seguintes advertências, conforme o caso: </w:t>
      </w:r>
    </w:p>
    <w:p w:rsidR="00B2445D" w:rsidRDefault="00B2445D" w:rsidP="00B2445D">
      <w:pPr>
        <w:pStyle w:val="BodyTextIndent2"/>
        <w:tabs>
          <w:tab w:val="left" w:leader="dot" w:pos="5103"/>
        </w:tabs>
        <w:ind w:firstLine="540"/>
      </w:pPr>
    </w:p>
    <w:p w:rsidR="00B2445D" w:rsidRDefault="00B2445D" w:rsidP="00B2445D">
      <w:pPr>
        <w:pStyle w:val="BodyTextIndent2"/>
        <w:tabs>
          <w:tab w:val="left" w:leader="dot" w:pos="5103"/>
        </w:tabs>
        <w:ind w:firstLine="540"/>
      </w:pPr>
      <w:r>
        <w:t xml:space="preserve">I – "Este fundo de cotas aplica em fundo de investimento que utiliza estratégias que podem resultar em significativas perdas patrimoniais para seus cotistas"; </w:t>
      </w:r>
      <w:proofErr w:type="gramStart"/>
      <w:r>
        <w:t>ou</w:t>
      </w:r>
      <w:proofErr w:type="gramEnd"/>
      <w:r>
        <w:t xml:space="preserve"> </w:t>
      </w:r>
    </w:p>
    <w:p w:rsidR="00B2445D" w:rsidRDefault="00B2445D" w:rsidP="00B2445D">
      <w:pPr>
        <w:pStyle w:val="BodyTextIndent2"/>
        <w:tabs>
          <w:tab w:val="left" w:leader="dot" w:pos="5103"/>
        </w:tabs>
        <w:ind w:firstLine="540"/>
      </w:pPr>
    </w:p>
    <w:p w:rsidR="00B2445D" w:rsidRDefault="00B2445D" w:rsidP="00B2445D">
      <w:pPr>
        <w:pStyle w:val="BodyTextIndent2"/>
        <w:tabs>
          <w:tab w:val="left" w:leader="dot" w:pos="5103"/>
        </w:tabs>
        <w:ind w:firstLine="540"/>
      </w:pPr>
      <w:r>
        <w:t>II – "Este fundo de cotas aplica em fundo de investimento que utiliza estratégias que podem resultar em significativas perdas patrimoniais para seus cotistas, podendo inclusive acarretar perdas superiores ao capital aplicado e a consequente obrigação do cotista de aportar recursos adicionais para cobrir o prejuízo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Artigo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center"/>
        <w:rPr>
          <w:rFonts w:ascii="Times New Roman" w:hAnsi="Times New Roman"/>
        </w:rPr>
      </w:pPr>
    </w:p>
    <w:p w:rsidR="00B2445D" w:rsidRDefault="00B2445D" w:rsidP="00B2445D">
      <w:pPr>
        <w:pStyle w:val="BodyTextIndent2"/>
        <w:tabs>
          <w:tab w:val="left" w:leader="dot" w:pos="5103"/>
        </w:tabs>
        <w:ind w:firstLine="540"/>
        <w:rPr>
          <w:strike/>
        </w:rPr>
      </w:pPr>
      <w:r>
        <w:rPr>
          <w:strike/>
        </w:rPr>
        <w:t>Art. 115-A.</w:t>
      </w:r>
      <w:proofErr w:type="gramStart"/>
      <w:r>
        <w:rPr>
          <w:strike/>
        </w:rPr>
        <w:t xml:space="preserve">  </w:t>
      </w:r>
      <w:proofErr w:type="gramEnd"/>
      <w:r>
        <w:rPr>
          <w:strike/>
        </w:rPr>
        <w:t>Os fundos de investimento em cotas não serão obrigados a consolidar as aplicações nos fundos que investirem desde que no mínimo 50% (</w:t>
      </w:r>
      <w:proofErr w:type="spellStart"/>
      <w:r>
        <w:rPr>
          <w:strike/>
        </w:rPr>
        <w:t>cinqüenta</w:t>
      </w:r>
      <w:proofErr w:type="spellEnd"/>
      <w:r>
        <w:rPr>
          <w:strike/>
        </w:rPr>
        <w:t xml:space="preserve"> por cento) de seu patrimônio líquido esteja aplicado em cotas de um ou mais fundos de investimento regulados por esta Instrução, que possuam prospecto e cujas carteiras sejam geridas por terceiros não ligados ao administrador ou ao gestor do fundo investidor;</w:t>
      </w:r>
    </w:p>
    <w:p w:rsidR="00B2445D" w:rsidRDefault="00B2445D" w:rsidP="00B2445D">
      <w:pPr>
        <w:pStyle w:val="BodyTextIndent2"/>
        <w:tabs>
          <w:tab w:val="left" w:leader="dot" w:pos="5103"/>
        </w:tabs>
        <w:ind w:firstLine="540"/>
        <w:rPr>
          <w:strike/>
        </w:rPr>
      </w:pPr>
    </w:p>
    <w:p w:rsidR="00B2445D" w:rsidRDefault="00B2445D" w:rsidP="00B2445D">
      <w:pPr>
        <w:pStyle w:val="BodyTextIndent2"/>
        <w:tabs>
          <w:tab w:val="left" w:leader="dot" w:pos="5103"/>
        </w:tabs>
        <w:ind w:firstLine="540"/>
      </w:pPr>
      <w:r>
        <w:t>Art. 115-A.</w:t>
      </w:r>
      <w:proofErr w:type="gramStart"/>
      <w:r>
        <w:t xml:space="preserve">  </w:t>
      </w:r>
      <w:proofErr w:type="gramEnd"/>
      <w:r>
        <w:t>Os fundos de investimento em cotas não serão obrigados a consolidar as aplicações em cotas de fundos de investimento permitidos por esta Instrução cujas carteiras sejam geridas por terceiros não ligados ao administrador ou ao gestor do fundo investidor.</w:t>
      </w:r>
    </w:p>
    <w:p w:rsidR="00B2445D" w:rsidRDefault="00B2445D" w:rsidP="00B2445D">
      <w:pPr>
        <w:pStyle w:val="BodyTextIndent2"/>
        <w:tabs>
          <w:tab w:val="left" w:leader="dot" w:pos="5103"/>
        </w:tabs>
        <w:ind w:firstLine="540"/>
      </w:pPr>
    </w:p>
    <w:p w:rsidR="00B2445D" w:rsidRDefault="00B2445D" w:rsidP="00B2445D">
      <w:pPr>
        <w:pStyle w:val="NormalWeb"/>
        <w:numPr>
          <w:ilvl w:val="0"/>
          <w:numId w:val="62"/>
        </w:numPr>
        <w:ind w:left="0" w:firstLine="567"/>
        <w:jc w:val="both"/>
      </w:pPr>
      <w:r>
        <w:rPr>
          <w:rFonts w:ascii="Times New Roman" w:hAnsi="Times New Roman"/>
          <w:b/>
        </w:rPr>
        <w:t>Caput</w:t>
      </w:r>
      <w:proofErr w:type="gramStart"/>
      <w:r>
        <w:rPr>
          <w:rFonts w:ascii="Times New Roman" w:hAnsi="Times New Roman"/>
          <w:b/>
        </w:rPr>
        <w:t xml:space="preserve">  </w:t>
      </w:r>
      <w:proofErr w:type="gramEnd"/>
      <w:r>
        <w:rPr>
          <w:rFonts w:ascii="Times New Roman" w:hAnsi="Times New Roman"/>
          <w:b/>
        </w:rPr>
        <w:t>com redação dada pela Instrução CVM nº 465, de 20 de fevereiro de 2008.</w:t>
      </w:r>
    </w:p>
    <w:p w:rsidR="00B2445D" w:rsidRDefault="00B2445D" w:rsidP="00B2445D">
      <w:pPr>
        <w:pStyle w:val="BodyTextIndent2"/>
        <w:tabs>
          <w:tab w:val="left" w:leader="dot" w:pos="5103"/>
        </w:tabs>
        <w:ind w:firstLine="540"/>
      </w:pPr>
    </w:p>
    <w:p w:rsidR="00B2445D" w:rsidRDefault="00B2445D" w:rsidP="00B2445D">
      <w:pPr>
        <w:pStyle w:val="BodyTextIndent2"/>
        <w:tabs>
          <w:tab w:val="left" w:leader="dot" w:pos="5103"/>
        </w:tabs>
        <w:ind w:firstLine="540"/>
      </w:pPr>
      <w:r>
        <w:t>§ 1º</w:t>
      </w:r>
      <w:proofErr w:type="gramStart"/>
      <w:r>
        <w:t xml:space="preserve">  </w:t>
      </w:r>
      <w:proofErr w:type="gramEnd"/>
      <w:r>
        <w:t>Caso a política de investimento de algum dos fundos investidos permita que o limite previsto no art. 98 seja excedido, a política de investimento do fundo investidor deverá detalhar os mecanismos que serão adotados para mitigar o risco de extrapolação do limite de que trata o art. 98, ou, alternativamente, adotar as medidas dos incisos I a III daquele artigo.</w:t>
      </w:r>
    </w:p>
    <w:p w:rsidR="00B2445D" w:rsidRDefault="00B2445D" w:rsidP="00B2445D">
      <w:pPr>
        <w:pStyle w:val="BodyTextIndent2"/>
        <w:tabs>
          <w:tab w:val="left" w:leader="dot" w:pos="5103"/>
        </w:tabs>
        <w:ind w:firstLine="540"/>
      </w:pPr>
    </w:p>
    <w:p w:rsidR="00B2445D" w:rsidRDefault="00B2445D" w:rsidP="00B2445D">
      <w:pPr>
        <w:pStyle w:val="NormalWeb"/>
        <w:ind w:firstLine="540"/>
        <w:jc w:val="both"/>
        <w:rPr>
          <w:rFonts w:ascii="Times New Roman" w:hAnsi="Times New Roman"/>
        </w:rPr>
      </w:pPr>
      <w:r>
        <w:rPr>
          <w:rFonts w:ascii="Times New Roman" w:hAnsi="Times New Roman"/>
        </w:rPr>
        <w:t>§ 2º</w:t>
      </w:r>
      <w:proofErr w:type="gramStart"/>
      <w:r>
        <w:rPr>
          <w:rFonts w:ascii="Times New Roman" w:hAnsi="Times New Roman"/>
        </w:rPr>
        <w:t xml:space="preserve">  </w:t>
      </w:r>
      <w:proofErr w:type="gramEnd"/>
      <w:r>
        <w:rPr>
          <w:rFonts w:ascii="Times New Roman" w:hAnsi="Times New Roman"/>
        </w:rPr>
        <w:t xml:space="preserve">Para a utilização da faculdade de que trata o </w:t>
      </w:r>
      <w:r>
        <w:rPr>
          <w:rFonts w:ascii="Times New Roman" w:hAnsi="Times New Roman"/>
          <w:b/>
        </w:rPr>
        <w:t xml:space="preserve">caput, </w:t>
      </w:r>
      <w:r>
        <w:rPr>
          <w:rFonts w:ascii="Times New Roman" w:hAnsi="Times New Roman"/>
        </w:rPr>
        <w:t>a política de investimento dos fundos de investimentos em cotas destinados para investidores qualificados não deverá permitir o investimento em cotas de fundos de que trata o art. 110-B.</w:t>
      </w:r>
    </w:p>
    <w:p w:rsidR="00B2445D" w:rsidRDefault="00B2445D" w:rsidP="00B2445D">
      <w:pPr>
        <w:pStyle w:val="NormalWeb"/>
        <w:ind w:firstLine="540"/>
        <w:jc w:val="both"/>
        <w:rPr>
          <w:rFonts w:ascii="Times New Roman" w:hAnsi="Times New Roman"/>
          <w:b/>
        </w:rPr>
      </w:pPr>
    </w:p>
    <w:p w:rsidR="00B2445D" w:rsidRDefault="00B2445D" w:rsidP="00B2445D">
      <w:pPr>
        <w:pStyle w:val="NormalWeb"/>
        <w:numPr>
          <w:ilvl w:val="0"/>
          <w:numId w:val="62"/>
        </w:numPr>
        <w:ind w:left="0" w:firstLine="567"/>
        <w:jc w:val="both"/>
        <w:rPr>
          <w:rFonts w:ascii="Times New Roman" w:hAnsi="Times New Roman"/>
          <w:b/>
        </w:rPr>
      </w:pPr>
      <w:r>
        <w:rPr>
          <w:rFonts w:ascii="Times New Roman" w:hAnsi="Times New Roman"/>
          <w:b/>
        </w:rPr>
        <w:lastRenderedPageBreak/>
        <w:t xml:space="preserve">Artigo incluído pela Instrução CVM nº 456, de 22 de junho de 2007. </w:t>
      </w:r>
    </w:p>
    <w:p w:rsidR="00B2445D" w:rsidRDefault="00B2445D" w:rsidP="00B2445D">
      <w:pPr>
        <w:tabs>
          <w:tab w:val="left" w:pos="5103"/>
        </w:tabs>
        <w:spacing w:line="312" w:lineRule="auto"/>
        <w:ind w:firstLine="567"/>
        <w:jc w:val="both"/>
        <w:rPr>
          <w:szCs w:val="20"/>
        </w:rPr>
      </w:pPr>
    </w:p>
    <w:p w:rsidR="00B2445D" w:rsidRDefault="00B2445D" w:rsidP="00B2445D">
      <w:pPr>
        <w:tabs>
          <w:tab w:val="left" w:pos="5103"/>
        </w:tabs>
        <w:spacing w:line="312" w:lineRule="auto"/>
        <w:ind w:firstLine="567"/>
        <w:jc w:val="both"/>
        <w:rPr>
          <w:szCs w:val="20"/>
        </w:rPr>
      </w:pPr>
      <w:r>
        <w:rPr>
          <w:szCs w:val="20"/>
        </w:rPr>
        <w:t>§ 3º</w:t>
      </w:r>
      <w:proofErr w:type="gramStart"/>
      <w:r>
        <w:rPr>
          <w:szCs w:val="20"/>
        </w:rPr>
        <w:t xml:space="preserve">  </w:t>
      </w:r>
      <w:proofErr w:type="gramEnd"/>
      <w:r>
        <w:rPr>
          <w:szCs w:val="20"/>
        </w:rPr>
        <w:t xml:space="preserve">As questões 5, 6 e 11 a 16 do documento obrigatório previsto no art. 71, inciso II, alínea c, não precisam ser respondidas pelos administradores dos fundos de investimento em cotas que atendam o disposto no </w:t>
      </w:r>
      <w:r>
        <w:rPr>
          <w:b/>
          <w:szCs w:val="20"/>
        </w:rPr>
        <w:t>caput</w:t>
      </w:r>
      <w:r>
        <w:rPr>
          <w:szCs w:val="20"/>
        </w:rPr>
        <w:t>.</w:t>
      </w:r>
    </w:p>
    <w:p w:rsidR="00B2445D" w:rsidRDefault="00B2445D" w:rsidP="00B2445D">
      <w:pPr>
        <w:tabs>
          <w:tab w:val="left" w:pos="5103"/>
        </w:tabs>
        <w:spacing w:line="312" w:lineRule="auto"/>
        <w:ind w:firstLine="567"/>
        <w:jc w:val="both"/>
        <w:rPr>
          <w:szCs w:val="20"/>
        </w:rPr>
      </w:pPr>
    </w:p>
    <w:p w:rsidR="00B2445D" w:rsidRDefault="00B2445D" w:rsidP="00B2445D">
      <w:pPr>
        <w:pStyle w:val="BodyTextIndent"/>
        <w:numPr>
          <w:ilvl w:val="0"/>
          <w:numId w:val="1"/>
        </w:numPr>
        <w:ind w:left="0" w:firstLine="567"/>
        <w:rPr>
          <w:b/>
        </w:rPr>
      </w:pPr>
      <w:r>
        <w:rPr>
          <w:b/>
        </w:rPr>
        <w:t>§3º incluído pela Instrução CVM nº 512, de 20 de dezembro de 2011.</w:t>
      </w:r>
    </w:p>
    <w:p w:rsidR="00B2445D" w:rsidRDefault="00B2445D" w:rsidP="00B2445D">
      <w:pPr>
        <w:pStyle w:val="NormalWeb"/>
        <w:jc w:val="both"/>
        <w:rPr>
          <w:rFonts w:ascii="Times New Roman" w:hAnsi="Times New Roman"/>
          <w:b/>
        </w:rPr>
      </w:pPr>
    </w:p>
    <w:p w:rsidR="00B2445D" w:rsidRDefault="00B2445D" w:rsidP="00B2445D">
      <w:pPr>
        <w:pStyle w:val="Title"/>
        <w:spacing w:line="312" w:lineRule="auto"/>
        <w:jc w:val="both"/>
        <w:rPr>
          <w:b w:val="0"/>
          <w:szCs w:val="20"/>
        </w:rPr>
      </w:pP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b/>
          <w:strike/>
        </w:rPr>
      </w:pPr>
      <w:r>
        <w:rPr>
          <w:rFonts w:ascii="Times New Roman" w:hAnsi="Times New Roman"/>
          <w:b/>
          <w:strike/>
        </w:rPr>
        <w:t>CAPÍTULO XIV</w:t>
      </w:r>
    </w:p>
    <w:p w:rsidR="00B2445D" w:rsidRDefault="00B2445D" w:rsidP="00B2445D">
      <w:pPr>
        <w:pStyle w:val="NormalWeb"/>
        <w:ind w:firstLine="567"/>
        <w:jc w:val="center"/>
        <w:rPr>
          <w:rFonts w:ascii="Times New Roman" w:hAnsi="Times New Roman"/>
          <w:b/>
          <w:strike/>
        </w:rPr>
      </w:pPr>
      <w:r>
        <w:rPr>
          <w:rFonts w:ascii="Times New Roman" w:hAnsi="Times New Roman"/>
          <w:b/>
          <w:strike/>
        </w:rPr>
        <w:t>DOS FUNDOS EXCLUSIVOS</w:t>
      </w:r>
    </w:p>
    <w:p w:rsidR="00B2445D" w:rsidRDefault="00B2445D" w:rsidP="00B2445D">
      <w:pPr>
        <w:pStyle w:val="NormalWeb"/>
        <w:ind w:firstLine="567"/>
        <w:jc w:val="center"/>
        <w:rPr>
          <w:rFonts w:ascii="Times New Roman" w:hAnsi="Times New Roman"/>
          <w:b/>
          <w:strike/>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XIV</w:t>
      </w:r>
    </w:p>
    <w:p w:rsidR="00B2445D" w:rsidRDefault="00B2445D" w:rsidP="00B2445D">
      <w:pPr>
        <w:pStyle w:val="NormalWeb"/>
        <w:ind w:left="360"/>
        <w:jc w:val="center"/>
        <w:rPr>
          <w:rFonts w:ascii="Times New Roman" w:hAnsi="Times New Roman"/>
          <w:b/>
        </w:rPr>
      </w:pPr>
      <w:r>
        <w:rPr>
          <w:rFonts w:ascii="Times New Roman" w:hAnsi="Times New Roman"/>
          <w:b/>
        </w:rPr>
        <w:t>DOS FUNDOS PREVIDENCIÁRIOS</w:t>
      </w:r>
    </w:p>
    <w:p w:rsidR="00B2445D" w:rsidRDefault="00B2445D" w:rsidP="00B2445D">
      <w:pPr>
        <w:pStyle w:val="NormalWeb"/>
        <w:ind w:left="360"/>
        <w:jc w:val="center"/>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Capítulo XIV renomeado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Art. 116.  Os fundos classificados como "Exclusivos" são aqueles constituídos para receber aplicações exclusivamente de um único cotista.</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Somente investidores qualificados poderão ser cotistas de fundos exclusivos.</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62"/>
        </w:numPr>
        <w:ind w:left="0" w:firstLine="567"/>
        <w:jc w:val="both"/>
        <w:rPr>
          <w:rFonts w:ascii="Times New Roman" w:hAnsi="Times New Roman"/>
          <w:b/>
          <w:strike/>
        </w:rPr>
      </w:pPr>
      <w:r>
        <w:rPr>
          <w:rFonts w:ascii="Times New Roman" w:hAnsi="Times New Roman"/>
          <w:b/>
          <w:strike/>
        </w:rPr>
        <w:t xml:space="preserve">Primitivo parágrafo único renumerado para § 1º pela Instrução CVM nº 413, de 30 de dezembro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Os fundos classificados como "Previdenciários" são os fundos exclusivos constituídos para receber aplicações exclusivamente de Fundos de Investimentos e Fundos de Aposentadoria Programada Individual – FAPI, planos de previdência complementar aberta, de seguros de vida com cobertura por sobrevivência e de entidades fechadas de previdência privada</w:t>
      </w:r>
    </w:p>
    <w:p w:rsidR="00B2445D" w:rsidRDefault="00B2445D" w:rsidP="00B2445D">
      <w:pPr>
        <w:pStyle w:val="NormalWeb"/>
        <w:jc w:val="both"/>
        <w:rPr>
          <w:rFonts w:ascii="Times New Roman" w:hAnsi="Times New Roman"/>
          <w:b/>
          <w:strike/>
        </w:rPr>
      </w:pPr>
    </w:p>
    <w:p w:rsidR="00B2445D" w:rsidRDefault="00B2445D" w:rsidP="00B2445D">
      <w:pPr>
        <w:pStyle w:val="NormalWeb"/>
        <w:numPr>
          <w:ilvl w:val="0"/>
          <w:numId w:val="62"/>
        </w:numPr>
        <w:ind w:left="0" w:firstLine="567"/>
        <w:jc w:val="both"/>
        <w:rPr>
          <w:rFonts w:ascii="Times New Roman" w:hAnsi="Times New Roman"/>
          <w:b/>
          <w:strike/>
        </w:rPr>
      </w:pPr>
      <w:r>
        <w:rPr>
          <w:rFonts w:ascii="Times New Roman" w:hAnsi="Times New Roman"/>
          <w:b/>
          <w:strike/>
        </w:rPr>
        <w:t>§2º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413, de 30 de dezembro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116.  Consideram-se “Previdenciários” os fundos constituídos para aplicação de recursos de: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w:t>
      </w:r>
      <w:proofErr w:type="gramStart"/>
      <w:r>
        <w:rPr>
          <w:rFonts w:ascii="Times New Roman" w:hAnsi="Times New Roman"/>
        </w:rPr>
        <w:t>–entidades</w:t>
      </w:r>
      <w:proofErr w:type="gramEnd"/>
      <w:r>
        <w:rPr>
          <w:rFonts w:ascii="Times New Roman" w:hAnsi="Times New Roman"/>
        </w:rPr>
        <w:t xml:space="preserve"> abertas ou fechadas de previdência privada;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regimes próprios de previdência </w:t>
      </w:r>
      <w:proofErr w:type="gramStart"/>
      <w:r>
        <w:rPr>
          <w:rFonts w:ascii="Times New Roman" w:hAnsi="Times New Roman"/>
        </w:rPr>
        <w:t>social instituídos pela União, pelos Estados, pelo Distrito Federal ou por Municípios</w:t>
      </w:r>
      <w:proofErr w:type="gramEnd"/>
      <w:r>
        <w:rPr>
          <w:rFonts w:ascii="Times New Roman" w:hAnsi="Times New Roman"/>
        </w:rPr>
        <w:t>; 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planos de previdência </w:t>
      </w:r>
      <w:proofErr w:type="gramStart"/>
      <w:r>
        <w:rPr>
          <w:rFonts w:ascii="Times New Roman" w:hAnsi="Times New Roman"/>
        </w:rPr>
        <w:t>complementar aberta e seguros de vida</w:t>
      </w:r>
      <w:proofErr w:type="gramEnd"/>
      <w:r>
        <w:rPr>
          <w:rFonts w:ascii="Times New Roman" w:hAnsi="Times New Roman"/>
        </w:rPr>
        <w:t xml:space="preserve"> com cláusula de cobertura por sobrevivência, de acordo com a regulamentação editada pelo Conselho Nacional de Seguros Privados.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1º</w:t>
      </w:r>
      <w:proofErr w:type="gramStart"/>
      <w:r>
        <w:rPr>
          <w:rFonts w:ascii="Times New Roman" w:hAnsi="Times New Roman"/>
        </w:rPr>
        <w:t xml:space="preserve">  </w:t>
      </w:r>
      <w:proofErr w:type="gramEnd"/>
      <w:r>
        <w:rPr>
          <w:rFonts w:ascii="Times New Roman" w:hAnsi="Times New Roman"/>
        </w:rPr>
        <w:t xml:space="preserve">Os fundos de que trata o caput deverão indicar, em seu cadastro na CVM, a condição de fundos “Previdenciários”, e a categoria de plano ou seguro a que se encontram vinculados.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2º</w:t>
      </w:r>
      <w:proofErr w:type="gramStart"/>
      <w:r>
        <w:rPr>
          <w:rFonts w:ascii="Times New Roman" w:hAnsi="Times New Roman"/>
        </w:rPr>
        <w:t xml:space="preserve">  </w:t>
      </w:r>
      <w:proofErr w:type="gramEnd"/>
      <w:r>
        <w:rPr>
          <w:rFonts w:ascii="Times New Roman" w:hAnsi="Times New Roman"/>
        </w:rPr>
        <w:t>Nos fundos vinculados a planos de previdência administrados por entidades abertas de previdência complementar e a seguros de vida com cobertura por sobrevivência, na emissão e no resgate de cotas do fundo poderá ser utilizado o valor de cota apurado de acordo com o disposto no § 3º do art. 10, segundo dispuser o regulamento.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Art. 116 e §§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left="360"/>
        <w:jc w:val="both"/>
        <w:rPr>
          <w:rFonts w:ascii="Times New Roman" w:hAnsi="Times New Roman"/>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XV</w:t>
      </w:r>
    </w:p>
    <w:p w:rsidR="00B2445D" w:rsidRDefault="00B2445D" w:rsidP="00B2445D">
      <w:pPr>
        <w:pStyle w:val="NormalWeb"/>
        <w:ind w:firstLine="567"/>
        <w:jc w:val="center"/>
        <w:rPr>
          <w:rFonts w:ascii="Times New Roman" w:hAnsi="Times New Roman"/>
          <w:b/>
        </w:rPr>
      </w:pPr>
      <w:r>
        <w:rPr>
          <w:rFonts w:ascii="Times New Roman" w:hAnsi="Times New Roman"/>
          <w:b/>
        </w:rPr>
        <w:t>DAS PENALIDADES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117.  Considera-se infração grave, para efeito do disposto no art. 11, § 3º, da Lei n.º 6.385/76, as seguintes condutas em desacordo com as disposições desta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 </w:t>
      </w:r>
      <w:proofErr w:type="gramStart"/>
      <w:r>
        <w:rPr>
          <w:rFonts w:ascii="Times New Roman" w:hAnsi="Times New Roman"/>
          <w:strike/>
        </w:rPr>
        <w:t>–funcionamento</w:t>
      </w:r>
      <w:proofErr w:type="gramEnd"/>
      <w:r>
        <w:rPr>
          <w:rFonts w:ascii="Times New Roman" w:hAnsi="Times New Roman"/>
          <w:strike/>
        </w:rPr>
        <w:t xml:space="preserve"> de fundo sem registro na CVM;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 – distribuição de cotas de fundo sem registro na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Inciso I com redação dada pela Instrução CVM nº 450, de 30 de março de 2007.</w:t>
      </w:r>
    </w:p>
    <w:p w:rsidR="00B2445D" w:rsidRDefault="00B2445D" w:rsidP="00B2445D">
      <w:pPr>
        <w:pStyle w:val="NormalWeb"/>
        <w:ind w:left="360"/>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II – distribuição de cotas de fundos por pessoa ou instituição não integrante do sistema de distribuição;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III – exercício de atividade não autorizada pelo administrador ao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III – exercício, pelo administrador, de atividade não autorizada, ou contratação de terceiros não autorizados ou habilitados à prestação dos serviços indicados no §1º do art. 56;</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Inciso III com a redação dada pela Instrução CVM nº 450, de 30 de março de 2007.</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não observância à política de investimento do fundo;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não cumprimento das deliberações tomadas em </w:t>
      </w:r>
      <w:proofErr w:type="spellStart"/>
      <w:r>
        <w:rPr>
          <w:rFonts w:ascii="Times New Roman" w:hAnsi="Times New Roman"/>
        </w:rPr>
        <w:t>assembléias</w:t>
      </w:r>
      <w:proofErr w:type="spellEnd"/>
      <w:r>
        <w:rPr>
          <w:rFonts w:ascii="Times New Roman" w:hAnsi="Times New Roman"/>
        </w:rPr>
        <w:t xml:space="preserve"> gerais de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 – não publicação de fato relevante;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 – não observância das regras contábeis aplicáveis aos fundos;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VIII – transformação de fundo aberto em fechado sem autorização da CVM;</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IX – não observância às disposições do Regulamento, inclusive quanto aos limites de concentração e diversificação de carteira, e concentração de risco; </w:t>
      </w:r>
      <w:proofErr w:type="gramStart"/>
      <w:r>
        <w:rPr>
          <w:rFonts w:ascii="Times New Roman" w:hAnsi="Times New Roman"/>
          <w:strike/>
        </w:rPr>
        <w:t>e</w:t>
      </w:r>
      <w:proofErr w:type="gramEnd"/>
    </w:p>
    <w:p w:rsidR="00B2445D" w:rsidRDefault="00B2445D" w:rsidP="00B2445D">
      <w:pPr>
        <w:pStyle w:val="NormalWeb"/>
        <w:ind w:left="360"/>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IX – não observância às disposições do regulamento do fundo;</w:t>
      </w:r>
    </w:p>
    <w:p w:rsidR="00B2445D" w:rsidRDefault="00B2445D" w:rsidP="00B2445D">
      <w:pPr>
        <w:pStyle w:val="NormalWeb"/>
        <w:ind w:left="360"/>
        <w:jc w:val="both"/>
        <w:rPr>
          <w:rFonts w:ascii="Times New Roman" w:hAnsi="Times New Roman"/>
          <w:b/>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 xml:space="preserve">Inciso IX com redação dada pela Instrução CVM nº 450, de 30 de março de </w:t>
      </w:r>
      <w:proofErr w:type="gramStart"/>
      <w:r>
        <w:rPr>
          <w:rFonts w:ascii="Times New Roman" w:hAnsi="Times New Roman"/>
          <w:b/>
        </w:rPr>
        <w:t>2007</w:t>
      </w:r>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 – descaracterização da classe adotada pelo fundo, exceto nos fundos da classe “Multimercado”;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 – não observância aos limites de concentração por emissor e por modalidade de ativo, previstos no regulamento 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XII – não observância do disposto no art. 98; </w:t>
      </w:r>
      <w:proofErr w:type="gramStart"/>
      <w:r>
        <w:rPr>
          <w:rFonts w:ascii="Times New Roman" w:hAnsi="Times New Roman"/>
          <w:strike/>
        </w:rPr>
        <w:t>e</w:t>
      </w:r>
      <w:proofErr w:type="gramEnd"/>
    </w:p>
    <w:p w:rsidR="00B2445D" w:rsidRDefault="00B2445D" w:rsidP="00B2445D">
      <w:pPr>
        <w:pStyle w:val="NormalWeb"/>
        <w:ind w:firstLine="567"/>
        <w:jc w:val="both"/>
        <w:rPr>
          <w:rFonts w:ascii="Times New Roman" w:hAnsi="Times New Roman"/>
          <w:strike/>
        </w:rPr>
      </w:pPr>
    </w:p>
    <w:p w:rsidR="00B2445D" w:rsidRDefault="00B2445D" w:rsidP="00B2445D">
      <w:pPr>
        <w:pStyle w:val="BodyTextIndent2"/>
        <w:tabs>
          <w:tab w:val="left" w:leader="dot" w:pos="5103"/>
        </w:tabs>
        <w:ind w:firstLine="540"/>
        <w:rPr>
          <w:strike/>
        </w:rPr>
      </w:pPr>
      <w:r>
        <w:rPr>
          <w:strike/>
        </w:rPr>
        <w:t xml:space="preserve">XIII – não observância, pelo administrador ou pelo gestor do fundo, dos deveres de conduta de que trata o art. 65-A. </w:t>
      </w:r>
    </w:p>
    <w:p w:rsidR="00B2445D" w:rsidRDefault="00B2445D" w:rsidP="00B2445D">
      <w:pPr>
        <w:pStyle w:val="BodyTextIndent2"/>
        <w:tabs>
          <w:tab w:val="left" w:leader="dot" w:pos="5103"/>
        </w:tabs>
        <w:ind w:firstLine="540"/>
        <w:rPr>
          <w:strike/>
        </w:rPr>
      </w:pPr>
    </w:p>
    <w:p w:rsidR="00B2445D" w:rsidRDefault="00B2445D" w:rsidP="00B2445D">
      <w:pPr>
        <w:pStyle w:val="NormalWeb"/>
        <w:ind w:firstLine="567"/>
        <w:jc w:val="both"/>
        <w:rPr>
          <w:rFonts w:ascii="Times New Roman" w:hAnsi="Times New Roman"/>
        </w:rPr>
      </w:pPr>
      <w:r>
        <w:rPr>
          <w:rFonts w:ascii="Times New Roman" w:hAnsi="Times New Roman"/>
        </w:rPr>
        <w:t>XII – não observância do disposto no art. 98;</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XIII – não observância, pelo administrador ou pelo gestor do fundo, dos deveres de conduta de que trata o art. 65-A</w:t>
      </w:r>
      <w:bookmarkStart w:id="181" w:name="_DV_C235"/>
      <w:r>
        <w:rPr>
          <w:rFonts w:ascii="Times New Roman" w:hAnsi="Times New Roman"/>
        </w:rPr>
        <w:t xml:space="preserve">; </w:t>
      </w:r>
      <w:proofErr w:type="gramStart"/>
      <w:r>
        <w:rPr>
          <w:rFonts w:ascii="Times New Roman" w:hAnsi="Times New Roman"/>
        </w:rPr>
        <w:t>e</w:t>
      </w:r>
      <w:bookmarkEnd w:id="181"/>
      <w:proofErr w:type="gramEnd"/>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t xml:space="preserve">Incisos XII e XIII com redação dada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Incisos X a XIII incluídos pela Instrução CVM nº 450, de 30 de março de 2007.</w:t>
      </w:r>
    </w:p>
    <w:p w:rsidR="00B2445D" w:rsidRDefault="00B2445D" w:rsidP="00B2445D">
      <w:pPr>
        <w:pStyle w:val="BodyTextIndent2"/>
        <w:tabs>
          <w:tab w:val="left" w:leader="dot" w:pos="5103"/>
        </w:tabs>
        <w:ind w:firstLine="540"/>
      </w:pPr>
    </w:p>
    <w:p w:rsidR="00B2445D" w:rsidRDefault="00B2445D" w:rsidP="00B2445D">
      <w:pPr>
        <w:pStyle w:val="NormalWeb"/>
        <w:ind w:firstLine="567"/>
        <w:jc w:val="both"/>
        <w:rPr>
          <w:rFonts w:ascii="Times New Roman" w:hAnsi="Times New Roman"/>
        </w:rPr>
      </w:pPr>
      <w:bookmarkStart w:id="182" w:name="_DV_C236"/>
      <w:r>
        <w:rPr>
          <w:rFonts w:ascii="Times New Roman" w:hAnsi="Times New Roman"/>
        </w:rPr>
        <w:t>XIV – não observância, pelo administrador, do disposto no art. 65-B</w:t>
      </w:r>
      <w:bookmarkStart w:id="183" w:name="_DV_M899"/>
      <w:bookmarkEnd w:id="182"/>
      <w:bookmarkEnd w:id="183"/>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
        </w:numPr>
        <w:ind w:left="0" w:firstLine="540"/>
        <w:jc w:val="both"/>
        <w:rPr>
          <w:rFonts w:ascii="Times New Roman" w:hAnsi="Times New Roman"/>
          <w:b/>
        </w:rPr>
      </w:pPr>
      <w:r>
        <w:rPr>
          <w:rFonts w:ascii="Times New Roman" w:hAnsi="Times New Roman"/>
          <w:b/>
        </w:rPr>
        <w:lastRenderedPageBreak/>
        <w:t xml:space="preserve">Inciso XIV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strike/>
        </w:rPr>
        <w:t xml:space="preserve">Art. 118.  Sem prejuízo do disposto no art. 11 da Lei n.º 6.385/76, o administrador pagará uma multa diária no valor de </w:t>
      </w:r>
      <w:proofErr w:type="gramStart"/>
      <w:r>
        <w:rPr>
          <w:rFonts w:ascii="Times New Roman" w:hAnsi="Times New Roman"/>
          <w:strike/>
        </w:rPr>
        <w:t>R$ 200,00 (duzentos reais), incidente</w:t>
      </w:r>
      <w:proofErr w:type="gramEnd"/>
      <w:r>
        <w:rPr>
          <w:rFonts w:ascii="Times New Roman" w:hAnsi="Times New Roman"/>
          <w:strike/>
        </w:rPr>
        <w:t xml:space="preserve"> a partir do primeiro dia útil </w:t>
      </w:r>
      <w:proofErr w:type="spellStart"/>
      <w:r>
        <w:rPr>
          <w:rFonts w:ascii="Times New Roman" w:hAnsi="Times New Roman"/>
          <w:strike/>
        </w:rPr>
        <w:t>subseqüente</w:t>
      </w:r>
      <w:proofErr w:type="spellEnd"/>
      <w:r>
        <w:rPr>
          <w:rFonts w:ascii="Times New Roman" w:hAnsi="Times New Roman"/>
          <w:strike/>
        </w:rPr>
        <w:t xml:space="preserve"> ao término do prazo, em virtude do não atendimento dos prazos previstos nesta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118 - Sem prejuízo do disposto no art. 11 da Lei n.º 6.385/76, o administrador estará sujeito à multa diária no valor de </w:t>
      </w:r>
      <w:proofErr w:type="gramStart"/>
      <w:r>
        <w:rPr>
          <w:rFonts w:ascii="Times New Roman" w:hAnsi="Times New Roman"/>
        </w:rPr>
        <w:t>R$ 200,00 (duzentos reais), em virtude do não atendimento</w:t>
      </w:r>
      <w:proofErr w:type="gramEnd"/>
      <w:r>
        <w:rPr>
          <w:rFonts w:ascii="Times New Roman" w:hAnsi="Times New Roman"/>
        </w:rPr>
        <w:t xml:space="preserve"> dos prazos previstos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14"/>
        </w:numPr>
        <w:ind w:left="0" w:firstLine="567"/>
        <w:jc w:val="both"/>
        <w:rPr>
          <w:rFonts w:ascii="Times New Roman" w:hAnsi="Times New Roman"/>
          <w:b/>
        </w:rPr>
      </w:pPr>
      <w:r>
        <w:rPr>
          <w:rFonts w:ascii="Times New Roman" w:hAnsi="Times New Roman"/>
          <w:b/>
        </w:rPr>
        <w:t>Art. 118 com</w:t>
      </w:r>
      <w:proofErr w:type="gramStart"/>
      <w:r>
        <w:rPr>
          <w:rFonts w:ascii="Times New Roman" w:hAnsi="Times New Roman"/>
          <w:b/>
        </w:rPr>
        <w:t xml:space="preserve">  </w:t>
      </w:r>
      <w:proofErr w:type="gramEnd"/>
      <w:r>
        <w:rPr>
          <w:rFonts w:ascii="Times New Roman" w:hAnsi="Times New Roman"/>
          <w:b/>
        </w:rPr>
        <w:t>redação dada pela Instrução CVM nº 450, de 30 de março de 2007.</w:t>
      </w:r>
    </w:p>
    <w:p w:rsidR="00B2445D" w:rsidRDefault="00B2445D" w:rsidP="00B2445D">
      <w:pPr>
        <w:pStyle w:val="NormalWeb"/>
        <w:ind w:left="360"/>
        <w:jc w:val="both"/>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Art. 119.  A CVM pode responsabilizar outros diretores, empregados e prepostos do administrador ou do gestor do fundo, caso fique configurada a sua responsabilidade pelo descumprimento das disposições desta Instrução.</w:t>
      </w: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40"/>
        <w:jc w:val="both"/>
        <w:rPr>
          <w:rFonts w:ascii="Times New Roman" w:hAnsi="Times New Roman"/>
        </w:rPr>
      </w:pPr>
      <w:r>
        <w:rPr>
          <w:rFonts w:ascii="Times New Roman" w:hAnsi="Times New Roman"/>
        </w:rPr>
        <w:t>Art. 119-A.</w:t>
      </w:r>
      <w:proofErr w:type="gramStart"/>
      <w:r>
        <w:rPr>
          <w:rFonts w:ascii="Times New Roman" w:hAnsi="Times New Roman"/>
        </w:rPr>
        <w:t xml:space="preserve">  </w:t>
      </w:r>
      <w:proofErr w:type="gramEnd"/>
      <w:r>
        <w:rPr>
          <w:rFonts w:ascii="Times New Roman" w:hAnsi="Times New Roman"/>
        </w:rPr>
        <w:t>Esta Instrução aplica-se a todo e qualquer fundo de investimento registrado junto à CVM, no que não contrariar as disposições das normas específicas aplicáveis a estes fundos.</w:t>
      </w:r>
    </w:p>
    <w:p w:rsidR="00B2445D" w:rsidRDefault="00B2445D" w:rsidP="00B2445D">
      <w:pPr>
        <w:pStyle w:val="NormalWeb"/>
        <w:ind w:firstLine="540"/>
        <w:jc w:val="both"/>
        <w:rPr>
          <w:rFonts w:ascii="Times New Roman" w:hAnsi="Times New Roman"/>
          <w:b/>
        </w:rPr>
      </w:pPr>
    </w:p>
    <w:p w:rsidR="00B2445D" w:rsidRDefault="00B2445D" w:rsidP="00B2445D">
      <w:pPr>
        <w:pStyle w:val="NormalWeb"/>
        <w:numPr>
          <w:ilvl w:val="0"/>
          <w:numId w:val="62"/>
        </w:numPr>
        <w:ind w:left="0" w:firstLine="567"/>
        <w:jc w:val="both"/>
        <w:rPr>
          <w:rFonts w:ascii="Times New Roman" w:hAnsi="Times New Roman"/>
          <w:b/>
        </w:rPr>
      </w:pPr>
      <w:r>
        <w:rPr>
          <w:rFonts w:ascii="Times New Roman" w:hAnsi="Times New Roman"/>
          <w:b/>
        </w:rPr>
        <w:t xml:space="preserve">Artigo incluído pela Instrução CVM nº 456, de 22 de junho de 2007. </w:t>
      </w: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r>
        <w:rPr>
          <w:rFonts w:ascii="Times New Roman" w:hAnsi="Times New Roman"/>
          <w:b/>
        </w:rPr>
        <w:t>CAPÍTULO XVI</w:t>
      </w:r>
    </w:p>
    <w:p w:rsidR="00B2445D" w:rsidRDefault="00B2445D" w:rsidP="00B2445D">
      <w:pPr>
        <w:pStyle w:val="NormalWeb"/>
        <w:ind w:firstLine="567"/>
        <w:jc w:val="center"/>
        <w:rPr>
          <w:rFonts w:ascii="Times New Roman" w:hAnsi="Times New Roman"/>
          <w:b/>
        </w:rPr>
      </w:pPr>
      <w:r>
        <w:rPr>
          <w:rFonts w:ascii="Times New Roman" w:hAnsi="Times New Roman"/>
          <w:b/>
        </w:rPr>
        <w:t>DAS DISPOSIÇÕES FINAIS E TRANSITÓRIAS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Art. 120.  A CVM, a qualquer momento, poderá solicitar documentos, informações adicionais ou modificações na documentação apresentada, bem como solicitar a correção de procedimentos que tenham sido adotados em desacordo com a legislação vigente.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121.  Em caso de decretação de intervenção, administração especial temporária, liquidação extrajudicial, insolvência, ou falência do administrador do fundo, o liquidante, o administrador temporário ou o interventor ficam obrigados a dar cumprimento ao disposto nesta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Parágrafo único. É facultado ao liquidante, ao administrador temporário ou ao interventor, conforme o caso, solicitar à CVM que nomeie um administrador temporário ou convocar </w:t>
      </w:r>
      <w:proofErr w:type="spellStart"/>
      <w:r>
        <w:rPr>
          <w:rFonts w:ascii="Times New Roman" w:hAnsi="Times New Roman"/>
        </w:rPr>
        <w:t>assembléia</w:t>
      </w:r>
      <w:proofErr w:type="spellEnd"/>
      <w:r>
        <w:rPr>
          <w:rFonts w:ascii="Times New Roman" w:hAnsi="Times New Roman"/>
        </w:rPr>
        <w:t xml:space="preserve"> geral de cotistas para deliberar sobre a transferência da administração do fundo para outra instituição financeira ou credenciada pela CVM ou sobre a sua liquidação.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122.  A CVM pode determinar que as informações previstas nesta Instrução, relativas à distribuição de cotas, assim como as demais informações requeridas pela CVM, periódicas ou eventuais, devam ser apresentadas através de meio eletrônico ou da página da CVM na rede mundial de computadores, de acordo com a estrutura de banco de dados e programas fornecidos pela CVM.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Art. 123.  Para fins do disposto nesta Instrução, considera-se o correio eletrônico uma forma de correspondência válida entre o administrador e os cotistas.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O envio de informações por meio eletrônico prevista no caput deste artigo depende de anuência do cotista do fundo, cabendo ao administrador a responsabilidade da guarda de referida autorização.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As comunicações exigidas pelas disposições desta Instrução serão consideradas efetuadas na data de sua expedição.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Art.124.  Os fundos de investimento que estejam em funcionamento na data da publicação desta Instrução e que sejam regulados pela Instrução CVM n.º 302, de 05/05/1999, pelas Circulares </w:t>
      </w:r>
      <w:proofErr w:type="spellStart"/>
      <w:r>
        <w:rPr>
          <w:rFonts w:ascii="Times New Roman" w:hAnsi="Times New Roman"/>
          <w:strike/>
        </w:rPr>
        <w:t>nºs</w:t>
      </w:r>
      <w:proofErr w:type="spellEnd"/>
      <w:r>
        <w:rPr>
          <w:rFonts w:ascii="Times New Roman" w:hAnsi="Times New Roman"/>
          <w:strike/>
        </w:rPr>
        <w:t xml:space="preserve">. 2.616, de 18 de setembro de 1995, e 2.714, de 28 de agosto de 1996, do Banco Central do Brasil, devem adaptar-se às disposições desta Instrução até 31 de dezembro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Art.124.  Os fundos de investimento que estejam em funcionamento na data de início da vigência desta Instrução e que sejam regulados pela Instrução CVM n.º 302, de 05/05/1999, pelas Circulares </w:t>
      </w:r>
      <w:proofErr w:type="spellStart"/>
      <w:r>
        <w:rPr>
          <w:rFonts w:ascii="Times New Roman" w:hAnsi="Times New Roman"/>
        </w:rPr>
        <w:t>nºs</w:t>
      </w:r>
      <w:proofErr w:type="spellEnd"/>
      <w:r>
        <w:rPr>
          <w:rFonts w:ascii="Times New Roman" w:hAnsi="Times New Roman"/>
        </w:rPr>
        <w:t>. 2.616, de 18 de setembro de 1995, e 2.714, de 28 de agosto de 1996, do Banco Central do Brasil, devem adaptar-se às disposições desta Instrução até 31 de janeiro de 2005.</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3"/>
        </w:numPr>
        <w:ind w:left="0" w:firstLine="567"/>
        <w:jc w:val="both"/>
        <w:rPr>
          <w:rFonts w:ascii="Times New Roman" w:hAnsi="Times New Roman"/>
          <w:b/>
        </w:rPr>
      </w:pPr>
      <w:r>
        <w:rPr>
          <w:rFonts w:ascii="Times New Roman" w:hAnsi="Times New Roman"/>
          <w:b/>
        </w:rPr>
        <w:t xml:space="preserve">Caput com redação dada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§1º</w:t>
      </w:r>
      <w:proofErr w:type="gramStart"/>
      <w:r>
        <w:rPr>
          <w:rFonts w:ascii="Times New Roman" w:hAnsi="Times New Roman"/>
          <w:strike/>
        </w:rPr>
        <w:t xml:space="preserve">  </w:t>
      </w:r>
      <w:proofErr w:type="gramEnd"/>
      <w:r>
        <w:rPr>
          <w:rFonts w:ascii="Times New Roman" w:hAnsi="Times New Roman"/>
          <w:strike/>
        </w:rPr>
        <w:t xml:space="preserve">As adaptações a que se refere o caput serão promovidas pelo administrador, para adequação do regulamento às normas da presente Instrução e devendo ser ratificadas pelos cotistas reunidos em </w:t>
      </w:r>
      <w:proofErr w:type="spellStart"/>
      <w:r>
        <w:rPr>
          <w:rFonts w:ascii="Times New Roman" w:hAnsi="Times New Roman"/>
          <w:strike/>
        </w:rPr>
        <w:t>assembléia</w:t>
      </w:r>
      <w:proofErr w:type="spellEnd"/>
      <w:r>
        <w:rPr>
          <w:rFonts w:ascii="Times New Roman" w:hAnsi="Times New Roman"/>
          <w:strike/>
        </w:rPr>
        <w:t xml:space="preserve"> geral instalada em conformidade com o disposto no Capítulo VII.</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§1º</w:t>
      </w:r>
      <w:proofErr w:type="gramStart"/>
      <w:r>
        <w:rPr>
          <w:rFonts w:ascii="Times New Roman" w:hAnsi="Times New Roman"/>
        </w:rPr>
        <w:t xml:space="preserve">  </w:t>
      </w:r>
      <w:proofErr w:type="gramEnd"/>
      <w:r>
        <w:rPr>
          <w:rFonts w:ascii="Times New Roman" w:hAnsi="Times New Roman"/>
        </w:rPr>
        <w:t xml:space="preserve">As adaptações a que se refere o caput serão promovidas pelo administrador, para adequação do regulamento às normas da presente Instrução e devendo ser ratificadas pelos cotistas reunidos em </w:t>
      </w:r>
      <w:proofErr w:type="spellStart"/>
      <w:r>
        <w:rPr>
          <w:rFonts w:ascii="Times New Roman" w:hAnsi="Times New Roman"/>
        </w:rPr>
        <w:t>assembléia</w:t>
      </w:r>
      <w:proofErr w:type="spellEnd"/>
      <w:r>
        <w:rPr>
          <w:rFonts w:ascii="Times New Roman" w:hAnsi="Times New Roman"/>
        </w:rPr>
        <w:t xml:space="preserve"> geral instalada em conformidade com o disposto no Capítulo V, e produzir efeitos no mais tardar até 31 de março de 2005.</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4"/>
        </w:numPr>
        <w:ind w:left="0" w:firstLine="567"/>
        <w:jc w:val="both"/>
        <w:rPr>
          <w:rFonts w:ascii="Times New Roman" w:hAnsi="Times New Roman"/>
          <w:b/>
        </w:rPr>
      </w:pPr>
      <w:r>
        <w:rPr>
          <w:rFonts w:ascii="Times New Roman" w:hAnsi="Times New Roman"/>
          <w:b/>
        </w:rPr>
        <w:t>§1º</w:t>
      </w:r>
      <w:proofErr w:type="gramStart"/>
      <w:r>
        <w:rPr>
          <w:rFonts w:ascii="Times New Roman" w:hAnsi="Times New Roman"/>
          <w:b/>
        </w:rPr>
        <w:t xml:space="preserve">  </w:t>
      </w:r>
      <w:proofErr w:type="gramEnd"/>
      <w:r>
        <w:rPr>
          <w:rFonts w:ascii="Times New Roman" w:hAnsi="Times New Roman"/>
          <w:b/>
        </w:rPr>
        <w:t xml:space="preserve">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§2º</w:t>
      </w:r>
      <w:proofErr w:type="gramStart"/>
      <w:r>
        <w:rPr>
          <w:rFonts w:ascii="Times New Roman" w:hAnsi="Times New Roman"/>
        </w:rPr>
        <w:t xml:space="preserve">  </w:t>
      </w:r>
      <w:proofErr w:type="gramEnd"/>
      <w:r>
        <w:rPr>
          <w:rFonts w:ascii="Times New Roman" w:hAnsi="Times New Roman"/>
        </w:rPr>
        <w:t>O disposto nos §§ 1º e 2º do art. 101 não se aplica aos fundos existentes na data de entrada em vigor desta Instrução.</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5"/>
        </w:numPr>
        <w:ind w:left="0" w:firstLine="567"/>
        <w:jc w:val="both"/>
        <w:rPr>
          <w:rFonts w:ascii="Times New Roman" w:hAnsi="Times New Roman"/>
          <w:b/>
        </w:rPr>
      </w:pPr>
      <w:r>
        <w:rPr>
          <w:rFonts w:ascii="Times New Roman" w:hAnsi="Times New Roman"/>
          <w:b/>
        </w:rPr>
        <w:t>§2º</w:t>
      </w:r>
      <w:proofErr w:type="gramStart"/>
      <w:r>
        <w:rPr>
          <w:rFonts w:ascii="Times New Roman" w:hAnsi="Times New Roman"/>
          <w:b/>
        </w:rPr>
        <w:t xml:space="preserve">  </w:t>
      </w:r>
      <w:proofErr w:type="gramEnd"/>
      <w:r>
        <w:rPr>
          <w:rFonts w:ascii="Times New Roman" w:hAnsi="Times New Roman"/>
          <w:b/>
        </w:rPr>
        <w:t xml:space="preserve">acrescentado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§2º</w:t>
      </w:r>
      <w:proofErr w:type="gramStart"/>
      <w:r>
        <w:rPr>
          <w:rFonts w:ascii="Times New Roman" w:hAnsi="Times New Roman"/>
          <w:strike/>
        </w:rPr>
        <w:t xml:space="preserve">  </w:t>
      </w:r>
      <w:proofErr w:type="gramEnd"/>
      <w:r>
        <w:rPr>
          <w:rFonts w:ascii="Times New Roman" w:hAnsi="Times New Roman"/>
          <w:strike/>
        </w:rPr>
        <w:t>Ressalvadas as hipóteses dos fundos de investimento em ações, ou em cotas de fundos de investimento em ações, e, ainda, o disposto na Deliberação CVM nº 244, de 03 de março de 1998, até o término do prazo de adaptação a que se refere o caput, não será admitida a constituição de fundos de investimento cujo administrador não seja instituição financeira.</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§3º</w:t>
      </w:r>
      <w:proofErr w:type="gramStart"/>
      <w:r>
        <w:rPr>
          <w:rFonts w:ascii="Times New Roman" w:hAnsi="Times New Roman"/>
        </w:rPr>
        <w:t xml:space="preserve">  </w:t>
      </w:r>
      <w:proofErr w:type="gramEnd"/>
      <w:r>
        <w:rPr>
          <w:rFonts w:ascii="Times New Roman" w:hAnsi="Times New Roman"/>
        </w:rPr>
        <w:t>Ressalvadas as hipóteses dos fundos de investimento em ações, ou em cotas de fundos de investimento em ações, e, ainda, o disposto na Deliberação CVM nº 244, de 03 de março de 1998, até 31 de janeiro de 2005 não será admitida a constituição de fundos de investimento cujo administrador não seja instituição financeira.</w:t>
      </w:r>
    </w:p>
    <w:p w:rsidR="00B2445D" w:rsidRDefault="00B2445D" w:rsidP="00B2445D">
      <w:pPr>
        <w:pStyle w:val="NormalWeb"/>
        <w:jc w:val="both"/>
        <w:rPr>
          <w:rFonts w:ascii="Times New Roman" w:hAnsi="Times New Roman"/>
          <w:b/>
        </w:rPr>
      </w:pPr>
    </w:p>
    <w:p w:rsidR="00B2445D" w:rsidRDefault="00B2445D" w:rsidP="00B2445D">
      <w:pPr>
        <w:pStyle w:val="NormalWeb"/>
        <w:numPr>
          <w:ilvl w:val="0"/>
          <w:numId w:val="66"/>
        </w:numPr>
        <w:ind w:left="0" w:firstLine="567"/>
        <w:jc w:val="both"/>
        <w:rPr>
          <w:rFonts w:ascii="Times New Roman" w:hAnsi="Times New Roman"/>
          <w:b/>
        </w:rPr>
      </w:pPr>
      <w:r>
        <w:rPr>
          <w:rFonts w:ascii="Times New Roman" w:hAnsi="Times New Roman"/>
          <w:b/>
        </w:rPr>
        <w:t xml:space="preserve">Primitivo § 2º renumerado para § 3º,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§4º</w:t>
      </w:r>
      <w:proofErr w:type="gramStart"/>
      <w:r>
        <w:rPr>
          <w:rFonts w:ascii="Times New Roman" w:hAnsi="Times New Roman"/>
        </w:rPr>
        <w:t xml:space="preserve">  </w:t>
      </w:r>
      <w:proofErr w:type="gramEnd"/>
      <w:r>
        <w:rPr>
          <w:rFonts w:ascii="Times New Roman" w:hAnsi="Times New Roman"/>
        </w:rPr>
        <w:t>Enquanto a CVM não editar as normas referidas no art. 83, aplicar-se-á o disposto no Plano Contábil das Instituições do Sistema Financeiro Nacional – COSIF.</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67"/>
        </w:numPr>
        <w:ind w:left="0" w:firstLine="567"/>
        <w:jc w:val="both"/>
        <w:rPr>
          <w:rFonts w:ascii="Times New Roman" w:hAnsi="Times New Roman"/>
          <w:b/>
        </w:rPr>
      </w:pPr>
      <w:r>
        <w:rPr>
          <w:rFonts w:ascii="Times New Roman" w:hAnsi="Times New Roman"/>
          <w:b/>
        </w:rPr>
        <w:t>Primitivo §3º</w:t>
      </w:r>
      <w:proofErr w:type="gramStart"/>
      <w:r>
        <w:rPr>
          <w:rFonts w:ascii="Times New Roman" w:hAnsi="Times New Roman"/>
          <w:b/>
        </w:rPr>
        <w:t xml:space="preserve">  </w:t>
      </w:r>
      <w:proofErr w:type="gramEnd"/>
      <w:r>
        <w:rPr>
          <w:rFonts w:ascii="Times New Roman" w:hAnsi="Times New Roman"/>
          <w:b/>
        </w:rPr>
        <w:t xml:space="preserve">renumerado para § 4º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§5º</w:t>
      </w:r>
      <w:proofErr w:type="gramStart"/>
      <w:r>
        <w:rPr>
          <w:rFonts w:ascii="Times New Roman" w:hAnsi="Times New Roman"/>
        </w:rPr>
        <w:t xml:space="preserve">  </w:t>
      </w:r>
      <w:proofErr w:type="gramEnd"/>
      <w:r>
        <w:rPr>
          <w:rFonts w:ascii="Times New Roman" w:hAnsi="Times New Roman"/>
        </w:rPr>
        <w:t>O disposto no parágrafo anterior não prejudica a aplicação das regras específicas editadas pela CVM relativas aos fundos de ações e à carteira de renda variável dos demais fundos de investimento, as quais continuam em vigor.</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68"/>
        </w:numPr>
        <w:ind w:left="0" w:firstLine="567"/>
        <w:jc w:val="both"/>
        <w:rPr>
          <w:rFonts w:ascii="Times New Roman" w:hAnsi="Times New Roman"/>
          <w:b/>
        </w:rPr>
      </w:pPr>
      <w:r>
        <w:rPr>
          <w:rFonts w:ascii="Times New Roman" w:hAnsi="Times New Roman"/>
          <w:b/>
        </w:rPr>
        <w:lastRenderedPageBreak/>
        <w:t>Primitivo §4º</w:t>
      </w:r>
      <w:proofErr w:type="gramStart"/>
      <w:r>
        <w:rPr>
          <w:rFonts w:ascii="Times New Roman" w:hAnsi="Times New Roman"/>
          <w:b/>
        </w:rPr>
        <w:t xml:space="preserve">  </w:t>
      </w:r>
      <w:proofErr w:type="gramEnd"/>
      <w:r>
        <w:rPr>
          <w:rFonts w:ascii="Times New Roman" w:hAnsi="Times New Roman"/>
          <w:b/>
        </w:rPr>
        <w:t xml:space="preserve">renumerado para § 5º pela Instrução CVM nº 411, de 26 de novembro de 2004. </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§6º</w:t>
      </w:r>
      <w:proofErr w:type="gramStart"/>
      <w:r>
        <w:rPr>
          <w:rFonts w:ascii="Times New Roman" w:hAnsi="Times New Roman"/>
          <w:strike/>
        </w:rPr>
        <w:t xml:space="preserve">  </w:t>
      </w:r>
      <w:proofErr w:type="gramEnd"/>
      <w:r>
        <w:rPr>
          <w:rFonts w:ascii="Times New Roman" w:hAnsi="Times New Roman"/>
          <w:strike/>
        </w:rPr>
        <w:t>Os bancos comerciais, os bancos múltiplos sem carteira de investimento e as caixas econômicas continuam autorizados, até 31 de dezembro de 2004, a realizar a distribuição de cotas dos fundos de investimento abertos existentes até a entrada em vigor desta instrução.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69"/>
        </w:numPr>
        <w:ind w:left="0" w:firstLine="567"/>
        <w:jc w:val="both"/>
        <w:rPr>
          <w:rFonts w:ascii="Times New Roman" w:hAnsi="Times New Roman"/>
          <w:b/>
        </w:rPr>
      </w:pPr>
      <w:r>
        <w:rPr>
          <w:rFonts w:ascii="Times New Roman" w:hAnsi="Times New Roman"/>
          <w:b/>
          <w:strike/>
        </w:rPr>
        <w:t>§6º</w:t>
      </w:r>
      <w:proofErr w:type="gramStart"/>
      <w:r>
        <w:rPr>
          <w:rFonts w:ascii="Times New Roman" w:hAnsi="Times New Roman"/>
          <w:b/>
          <w:strike/>
        </w:rPr>
        <w:t xml:space="preserve">  </w:t>
      </w:r>
      <w:proofErr w:type="gramEnd"/>
      <w:r>
        <w:rPr>
          <w:rFonts w:ascii="Times New Roman" w:hAnsi="Times New Roman"/>
          <w:b/>
          <w:strike/>
        </w:rPr>
        <w:t>acrescentado pela Instrução CVM nº 411, de 26 de novembro de 2004.</w:t>
      </w:r>
      <w:r>
        <w:rPr>
          <w:rFonts w:ascii="Times New Roman" w:hAnsi="Times New Roman"/>
          <w:b/>
        </w:rPr>
        <w:t xml:space="preserve">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§6</w:t>
      </w:r>
      <w:r>
        <w:rPr>
          <w:rFonts w:ascii="Times New Roman" w:hAnsi="Times New Roman"/>
          <w:u w:val="single"/>
          <w:vertAlign w:val="superscript"/>
        </w:rPr>
        <w:t>o</w:t>
      </w:r>
      <w:proofErr w:type="gramStart"/>
      <w:r>
        <w:rPr>
          <w:rFonts w:ascii="Times New Roman" w:hAnsi="Times New Roman"/>
        </w:rPr>
        <w:t xml:space="preserve">  </w:t>
      </w:r>
      <w:proofErr w:type="gramEnd"/>
      <w:r>
        <w:rPr>
          <w:rFonts w:ascii="Times New Roman" w:hAnsi="Times New Roman"/>
        </w:rPr>
        <w:t>Os bancos comerciais, os bancos múltiplos sem carteira de investimento e as caixas econômicas continuam autorizados, até 31 de janeiro de 2005, a realizar a distribuição de cotas dos fundos de investimento abertos existentes até a entrada em vigor desta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69"/>
        </w:numPr>
        <w:ind w:left="0" w:firstLine="567"/>
        <w:jc w:val="both"/>
        <w:rPr>
          <w:rFonts w:ascii="Times New Roman" w:hAnsi="Times New Roman"/>
          <w:b/>
        </w:rPr>
      </w:pPr>
      <w:r>
        <w:rPr>
          <w:rFonts w:ascii="Times New Roman" w:hAnsi="Times New Roman"/>
          <w:b/>
        </w:rPr>
        <w:t>§6º</w:t>
      </w:r>
      <w:proofErr w:type="gramStart"/>
      <w:r>
        <w:rPr>
          <w:rFonts w:ascii="Times New Roman" w:hAnsi="Times New Roman"/>
          <w:b/>
        </w:rPr>
        <w:t xml:space="preserve">  </w:t>
      </w:r>
      <w:proofErr w:type="gramEnd"/>
      <w:r>
        <w:rPr>
          <w:rFonts w:ascii="Times New Roman" w:hAnsi="Times New Roman"/>
          <w:b/>
        </w:rPr>
        <w:t>com redação dada pela Instrução CVM nº 413, de 30 de dezembro de 2004.</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§7º</w:t>
      </w:r>
      <w:proofErr w:type="gramStart"/>
      <w:r>
        <w:rPr>
          <w:rFonts w:ascii="Times New Roman" w:hAnsi="Times New Roman"/>
          <w:strike/>
        </w:rPr>
        <w:t xml:space="preserve">  </w:t>
      </w:r>
      <w:proofErr w:type="gramEnd"/>
      <w:r>
        <w:rPr>
          <w:rFonts w:ascii="Times New Roman" w:hAnsi="Times New Roman"/>
          <w:strike/>
        </w:rPr>
        <w:t>Os bancos comerciais, bancos múltiplos sem carteira de investimento e caixas econômicas continuam autorizados, até 31 de dezembro de 2004, a exercer a administração ou a gestão dos fundos de investimento abertos por eles já administrados ou geridos até a entrada em vigor desta instrução.</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numPr>
          <w:ilvl w:val="0"/>
          <w:numId w:val="70"/>
        </w:numPr>
        <w:ind w:left="0" w:firstLine="567"/>
        <w:jc w:val="both"/>
        <w:rPr>
          <w:rFonts w:ascii="Times New Roman" w:hAnsi="Times New Roman"/>
          <w:b/>
        </w:rPr>
      </w:pPr>
      <w:r>
        <w:rPr>
          <w:rFonts w:ascii="Times New Roman" w:hAnsi="Times New Roman"/>
          <w:b/>
          <w:strike/>
        </w:rPr>
        <w:t>§7º</w:t>
      </w:r>
      <w:proofErr w:type="gramStart"/>
      <w:r>
        <w:rPr>
          <w:rFonts w:ascii="Times New Roman" w:hAnsi="Times New Roman"/>
          <w:b/>
          <w:strike/>
        </w:rPr>
        <w:t xml:space="preserve">  </w:t>
      </w:r>
      <w:proofErr w:type="gramEnd"/>
      <w:r>
        <w:rPr>
          <w:rFonts w:ascii="Times New Roman" w:hAnsi="Times New Roman"/>
          <w:b/>
          <w:strike/>
        </w:rPr>
        <w:t xml:space="preserve">acrescentado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§7º</w:t>
      </w:r>
      <w:proofErr w:type="gramStart"/>
      <w:r>
        <w:rPr>
          <w:rFonts w:ascii="Times New Roman" w:hAnsi="Times New Roman"/>
        </w:rPr>
        <w:t xml:space="preserve">  </w:t>
      </w:r>
      <w:proofErr w:type="gramEnd"/>
      <w:r>
        <w:rPr>
          <w:rFonts w:ascii="Times New Roman" w:hAnsi="Times New Roman"/>
        </w:rPr>
        <w:t xml:space="preserve">As instituições administradoras ou gestoras das carteiras de fundos de investimento que estejam em funcionamento na data de início da vigência desta Instrução, que sejam regulados pela Circulares </w:t>
      </w:r>
      <w:proofErr w:type="spellStart"/>
      <w:r>
        <w:rPr>
          <w:rFonts w:ascii="Times New Roman" w:hAnsi="Times New Roman"/>
        </w:rPr>
        <w:t>nºs</w:t>
      </w:r>
      <w:proofErr w:type="spellEnd"/>
      <w:r>
        <w:rPr>
          <w:rFonts w:ascii="Times New Roman" w:hAnsi="Times New Roman"/>
        </w:rPr>
        <w:t>. 2.616, de 18 de setembro de 1995, e 2.714, de 28 de agosto de 1996, do Banco Central do Brasil, mas que não sejam credenciadas na CVM como administradoras de carteira de valores mobiliários</w:t>
      </w:r>
      <w:proofErr w:type="gramStart"/>
      <w:r>
        <w:rPr>
          <w:rFonts w:ascii="Times New Roman" w:hAnsi="Times New Roman"/>
        </w:rPr>
        <w:t>, continuam</w:t>
      </w:r>
      <w:proofErr w:type="gramEnd"/>
      <w:r>
        <w:rPr>
          <w:rFonts w:ascii="Times New Roman" w:hAnsi="Times New Roman"/>
        </w:rPr>
        <w:t xml:space="preserve"> autorizadas, até 31 de janeiro de 2005, a exercer a administração ou a gestão das carteiras dos referidos fundos de investimento.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70"/>
        </w:numPr>
        <w:ind w:left="0" w:firstLine="567"/>
        <w:jc w:val="both"/>
        <w:rPr>
          <w:rFonts w:ascii="Times New Roman" w:hAnsi="Times New Roman"/>
          <w:b/>
          <w:strike/>
        </w:rPr>
      </w:pPr>
      <w:r>
        <w:rPr>
          <w:rFonts w:ascii="Times New Roman" w:hAnsi="Times New Roman"/>
          <w:b/>
        </w:rPr>
        <w:t>§7º</w:t>
      </w:r>
      <w:proofErr w:type="gramStart"/>
      <w:r>
        <w:rPr>
          <w:rFonts w:ascii="Times New Roman" w:hAnsi="Times New Roman"/>
          <w:b/>
        </w:rPr>
        <w:t xml:space="preserve">  </w:t>
      </w:r>
      <w:proofErr w:type="gramEnd"/>
      <w:r>
        <w:rPr>
          <w:rFonts w:ascii="Times New Roman" w:hAnsi="Times New Roman"/>
          <w:b/>
        </w:rPr>
        <w:t>com redação dada pela Instrução CVM nº 413, de 30 de dezembro de 2004.</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Art. 125.  </w:t>
      </w:r>
      <w:proofErr w:type="gramStart"/>
      <w:r>
        <w:rPr>
          <w:rFonts w:ascii="Times New Roman" w:hAnsi="Times New Roman"/>
          <w:strike/>
        </w:rPr>
        <w:t>Ficam</w:t>
      </w:r>
      <w:proofErr w:type="gramEnd"/>
      <w:r>
        <w:rPr>
          <w:rFonts w:ascii="Times New Roman" w:hAnsi="Times New Roman"/>
          <w:strike/>
        </w:rPr>
        <w:t xml:space="preserve"> revogadas a Instrução CVM nº. 149, de </w:t>
      </w:r>
      <w:proofErr w:type="gramStart"/>
      <w:r>
        <w:rPr>
          <w:rFonts w:ascii="Times New Roman" w:hAnsi="Times New Roman"/>
          <w:strike/>
        </w:rPr>
        <w:t>3</w:t>
      </w:r>
      <w:proofErr w:type="gramEnd"/>
      <w:r>
        <w:rPr>
          <w:rFonts w:ascii="Times New Roman" w:hAnsi="Times New Roman"/>
          <w:strike/>
        </w:rPr>
        <w:t xml:space="preserve"> de julho de 1991, a Instrução CVM nº. 171, de 23 de janeiro de 1992, a Instrução CVM nº. 178, de 13 de fevereiro de 1992, as Instruções CVM </w:t>
      </w:r>
      <w:proofErr w:type="spellStart"/>
      <w:r>
        <w:rPr>
          <w:rFonts w:ascii="Times New Roman" w:hAnsi="Times New Roman"/>
          <w:strike/>
        </w:rPr>
        <w:t>nºs</w:t>
      </w:r>
      <w:proofErr w:type="spellEnd"/>
      <w:r>
        <w:rPr>
          <w:rFonts w:ascii="Times New Roman" w:hAnsi="Times New Roman"/>
          <w:strike/>
        </w:rPr>
        <w:t xml:space="preserve">. 302, 303 e 304, todas de </w:t>
      </w:r>
      <w:proofErr w:type="gramStart"/>
      <w:r>
        <w:rPr>
          <w:rFonts w:ascii="Times New Roman" w:hAnsi="Times New Roman"/>
          <w:strike/>
        </w:rPr>
        <w:t>5</w:t>
      </w:r>
      <w:proofErr w:type="gramEnd"/>
      <w:r>
        <w:rPr>
          <w:rFonts w:ascii="Times New Roman" w:hAnsi="Times New Roman"/>
          <w:strike/>
        </w:rPr>
        <w:t xml:space="preserve"> de maio de 1999, e as Instruções CVM </w:t>
      </w:r>
      <w:proofErr w:type="spellStart"/>
      <w:r>
        <w:rPr>
          <w:rFonts w:ascii="Times New Roman" w:hAnsi="Times New Roman"/>
          <w:strike/>
        </w:rPr>
        <w:t>nºs</w:t>
      </w:r>
      <w:proofErr w:type="spellEnd"/>
      <w:r>
        <w:rPr>
          <w:rFonts w:ascii="Times New Roman" w:hAnsi="Times New Roman"/>
          <w:strike/>
        </w:rPr>
        <w:t>. 386, de 28 de março de 2003, e 403, de 30 de janeiro de 2004.</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rPr>
      </w:pPr>
      <w:r>
        <w:rPr>
          <w:rFonts w:ascii="Times New Roman" w:hAnsi="Times New Roman"/>
        </w:rPr>
        <w:t>Art. 125.  Ficam revogadas as seguintes Instruções: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149</w:t>
      </w:r>
      <w:proofErr w:type="gramEnd"/>
      <w:r>
        <w:rPr>
          <w:rFonts w:ascii="Times New Roman" w:hAnsi="Times New Roman"/>
        </w:rPr>
        <w:t xml:space="preserve">, de 3 de julho de 1991;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171</w:t>
      </w:r>
      <w:proofErr w:type="gramEnd"/>
      <w:r>
        <w:rPr>
          <w:rFonts w:ascii="Times New Roman" w:hAnsi="Times New Roman"/>
        </w:rPr>
        <w:t>, de 23 de janeiro de 1992;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178</w:t>
      </w:r>
      <w:proofErr w:type="gramEnd"/>
      <w:r>
        <w:rPr>
          <w:rFonts w:ascii="Times New Roman" w:hAnsi="Times New Roman"/>
        </w:rPr>
        <w:t>, de 13 de fevereiro de 1992;</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IV – Instruções CVM n</w:t>
      </w:r>
      <w:r>
        <w:rPr>
          <w:rFonts w:ascii="Times New Roman" w:hAnsi="Times New Roman"/>
          <w:u w:val="single"/>
          <w:vertAlign w:val="superscript"/>
        </w:rPr>
        <w:t>os</w:t>
      </w:r>
      <w:r>
        <w:rPr>
          <w:rFonts w:ascii="Times New Roman" w:hAnsi="Times New Roman"/>
        </w:rPr>
        <w:t xml:space="preserve"> 302, 303 e 304, todas de </w:t>
      </w:r>
      <w:proofErr w:type="gramStart"/>
      <w:r>
        <w:rPr>
          <w:rFonts w:ascii="Times New Roman" w:hAnsi="Times New Roman"/>
        </w:rPr>
        <w:t>5</w:t>
      </w:r>
      <w:proofErr w:type="gramEnd"/>
      <w:r>
        <w:rPr>
          <w:rFonts w:ascii="Times New Roman" w:hAnsi="Times New Roman"/>
        </w:rPr>
        <w:t xml:space="preserve"> de maio de 1999;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386</w:t>
      </w:r>
      <w:proofErr w:type="gramEnd"/>
      <w:r>
        <w:rPr>
          <w:rFonts w:ascii="Times New Roman" w:hAnsi="Times New Roman"/>
        </w:rPr>
        <w:t>, de 28 de março de 2003;</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392</w:t>
      </w:r>
      <w:proofErr w:type="gramEnd"/>
      <w:r>
        <w:rPr>
          <w:rFonts w:ascii="Times New Roman" w:hAnsi="Times New Roman"/>
        </w:rPr>
        <w:t>, de 18 de julho de 2003; e</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VII – Instrução CVM </w:t>
      </w:r>
      <w:proofErr w:type="gramStart"/>
      <w:r>
        <w:rPr>
          <w:rFonts w:ascii="Times New Roman" w:hAnsi="Times New Roman"/>
        </w:rPr>
        <w:t>n</w:t>
      </w:r>
      <w:r>
        <w:rPr>
          <w:rFonts w:ascii="Times New Roman" w:hAnsi="Times New Roman"/>
          <w:u w:val="single"/>
          <w:vertAlign w:val="superscript"/>
        </w:rPr>
        <w:t>o</w:t>
      </w:r>
      <w:r>
        <w:rPr>
          <w:rFonts w:ascii="Times New Roman" w:hAnsi="Times New Roman"/>
        </w:rPr>
        <w:t xml:space="preserve"> 403</w:t>
      </w:r>
      <w:proofErr w:type="gramEnd"/>
      <w:r>
        <w:rPr>
          <w:rFonts w:ascii="Times New Roman" w:hAnsi="Times New Roman"/>
        </w:rPr>
        <w:t>, de 30 de janeiro de 2004.</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71"/>
        </w:numPr>
        <w:ind w:left="0" w:firstLine="567"/>
        <w:jc w:val="both"/>
        <w:rPr>
          <w:rFonts w:ascii="Times New Roman" w:hAnsi="Times New Roman"/>
          <w:b/>
        </w:rPr>
      </w:pPr>
      <w:r>
        <w:rPr>
          <w:rFonts w:ascii="Times New Roman" w:hAnsi="Times New Roman"/>
          <w:b/>
        </w:rPr>
        <w:t xml:space="preserve">Artigo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Art. 126.  Esta Instrução entra em vigor 90 (noventa) dias após sua publicação no Diário Oficial da União.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i/>
        </w:rPr>
      </w:pPr>
      <w:r>
        <w:rPr>
          <w:rFonts w:ascii="Times New Roman" w:hAnsi="Times New Roman"/>
          <w:i/>
        </w:rPr>
        <w:t>Original assinado por</w:t>
      </w:r>
    </w:p>
    <w:p w:rsidR="00B2445D" w:rsidRDefault="00B2445D" w:rsidP="00B2445D">
      <w:pPr>
        <w:pStyle w:val="NormalWeb"/>
        <w:ind w:firstLine="567"/>
        <w:jc w:val="center"/>
        <w:rPr>
          <w:rFonts w:ascii="Times New Roman" w:hAnsi="Times New Roman"/>
          <w:b/>
        </w:rPr>
      </w:pPr>
      <w:r>
        <w:rPr>
          <w:rFonts w:ascii="Times New Roman" w:hAnsi="Times New Roman"/>
          <w:b/>
        </w:rPr>
        <w:t>MARCELO FERNANDEZ TRINDADE</w:t>
      </w:r>
    </w:p>
    <w:p w:rsidR="00B2445D" w:rsidRDefault="00B2445D" w:rsidP="00B2445D">
      <w:pPr>
        <w:pStyle w:val="NormalWeb"/>
        <w:ind w:firstLine="567"/>
        <w:jc w:val="center"/>
        <w:rPr>
          <w:rFonts w:ascii="Times New Roman" w:hAnsi="Times New Roman"/>
          <w:b/>
        </w:rPr>
      </w:pPr>
      <w:r>
        <w:rPr>
          <w:rFonts w:ascii="Times New Roman" w:hAnsi="Times New Roman"/>
          <w:b/>
        </w:rPr>
        <w:t>Presidente</w:t>
      </w:r>
    </w:p>
    <w:p w:rsidR="00B2445D" w:rsidRDefault="00B2445D" w:rsidP="00B2445D">
      <w:pPr>
        <w:pStyle w:val="NormalWeb"/>
        <w:ind w:firstLine="567"/>
        <w:jc w:val="center"/>
        <w:rPr>
          <w:rFonts w:ascii="Times New Roman" w:hAnsi="Times New Roman"/>
          <w:b/>
        </w:rPr>
      </w:pPr>
      <w:r>
        <w:br w:type="page"/>
      </w:r>
      <w:r>
        <w:rPr>
          <w:rFonts w:ascii="Times New Roman" w:hAnsi="Times New Roman"/>
          <w:b/>
        </w:rPr>
        <w:lastRenderedPageBreak/>
        <w:t>ANEXO I</w:t>
      </w:r>
    </w:p>
    <w:p w:rsidR="00B2445D" w:rsidRDefault="00B2445D" w:rsidP="00B2445D">
      <w:pPr>
        <w:pStyle w:val="NormalWeb"/>
        <w:ind w:firstLine="567"/>
        <w:jc w:val="center"/>
        <w:rPr>
          <w:rFonts w:ascii="Times New Roman" w:hAnsi="Times New Roman"/>
          <w:b/>
        </w:rPr>
      </w:pPr>
      <w:r>
        <w:rPr>
          <w:rFonts w:ascii="Times New Roman" w:hAnsi="Times New Roman"/>
          <w:b/>
        </w:rPr>
        <w:t>DECLARAÇÃO DE CONDIÇÃO DE INVESTIDOR QUALIFICADO</w:t>
      </w: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center"/>
        <w:rPr>
          <w:rFonts w:ascii="Times New Roman" w:hAnsi="Times New Roman"/>
          <w:b/>
        </w:rPr>
      </w:pPr>
    </w:p>
    <w:p w:rsidR="00B2445D" w:rsidRDefault="00B2445D" w:rsidP="00B2445D">
      <w:pPr>
        <w:pStyle w:val="NormalWeb"/>
        <w:ind w:firstLine="567"/>
        <w:jc w:val="both"/>
        <w:rPr>
          <w:rFonts w:ascii="Times New Roman" w:hAnsi="Times New Roman"/>
        </w:rPr>
      </w:pPr>
      <w:r>
        <w:rPr>
          <w:rFonts w:ascii="Times New Roman" w:hAnsi="Times New Roman"/>
        </w:rPr>
        <w:t xml:space="preserve">AO ASSINAR ESTE TERMO ESTOU AFIRMANDO MINHA CONDIÇÃO DE INVESTIDOR QUALIFICADO E DECLARANDO POSSUIR CONHECIMENTO SOBRE O MERCADO FINANCEIRO E DE CAPITAIS SUFICIENTE PARA QUE NÃO ME SEJAM APLICÁVEIS UM CONJUNTO DE PROTEÇÕES LEGAIS E REGULAMENTARES CONFERIDAS AOS INVESTIDORES </w:t>
      </w:r>
      <w:proofErr w:type="gramStart"/>
      <w:r>
        <w:rPr>
          <w:rFonts w:ascii="Times New Roman" w:hAnsi="Times New Roman"/>
        </w:rPr>
        <w:t>NÃO-QUALIFICADOS</w:t>
      </w:r>
      <w:proofErr w:type="gramEnd"/>
      <w:r>
        <w:rPr>
          <w:rFonts w:ascii="Times New Roman" w:hAnsi="Times New Roman"/>
        </w:rPr>
        <w:t>.</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TENHO CIÊNCIA DE QUE O ADMINISTRADOR DO FUNDO DE INVESTIMENTO DO QUAL PARTICIPAREI COMO INVESTIDOR QUALIFICADO PODERÁ, NOS TERMOS DA LEGISLAÇÃO EM VIGOR, ENTRE OUTRAS COISAS: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 – ADMITIR A UTILIZAÇÃO DE TÍTULOS E VALORES MOBILIÁRIOS NA INTEGRALIZAÇÃO E RESGATE DE COTAS;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II – DISPENSAR A ELABORAÇÃO DE PROSPECTO;</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III – COBRAR TAXA DE </w:t>
      </w:r>
      <w:proofErr w:type="gramStart"/>
      <w:r>
        <w:rPr>
          <w:rFonts w:ascii="Times New Roman" w:hAnsi="Times New Roman"/>
        </w:rPr>
        <w:t>PERFORMANCE</w:t>
      </w:r>
      <w:proofErr w:type="gramEnd"/>
      <w:r>
        <w:rPr>
          <w:rFonts w:ascii="Times New Roman" w:hAnsi="Times New Roman"/>
        </w:rPr>
        <w:t xml:space="preserve"> CONFORME ESTABELECIDO NO REGULAMENTO; E</w:t>
      </w:r>
    </w:p>
    <w:p w:rsidR="00B2445D" w:rsidRDefault="00B2445D" w:rsidP="00B2445D">
      <w:pPr>
        <w:pStyle w:val="NormalWeb"/>
        <w:ind w:firstLine="567"/>
        <w:jc w:val="both"/>
        <w:rPr>
          <w:rFonts w:ascii="Times New Roman" w:hAnsi="Times New Roman"/>
          <w:strike/>
        </w:rPr>
      </w:pPr>
    </w:p>
    <w:p w:rsidR="00B2445D" w:rsidRDefault="00B2445D" w:rsidP="00B2445D">
      <w:pPr>
        <w:pStyle w:val="NormalWeb"/>
        <w:ind w:firstLine="567"/>
        <w:jc w:val="both"/>
        <w:rPr>
          <w:rFonts w:ascii="Times New Roman" w:hAnsi="Times New Roman"/>
          <w:strike/>
        </w:rPr>
      </w:pPr>
      <w:r>
        <w:rPr>
          <w:rFonts w:ascii="Times New Roman" w:hAnsi="Times New Roman"/>
          <w:strike/>
        </w:rPr>
        <w:t xml:space="preserve">IV – ESTABELECER PRAZOS PARA APURAÇÃO DO VALOR DA COTA E PARA PAGAMENTO DE RESGATES DIFERENTES DAQUELES </w:t>
      </w:r>
      <w:proofErr w:type="gramStart"/>
      <w:r>
        <w:rPr>
          <w:rFonts w:ascii="Times New Roman" w:hAnsi="Times New Roman"/>
          <w:strike/>
        </w:rPr>
        <w:t>O PREVISTOS</w:t>
      </w:r>
      <w:proofErr w:type="gramEnd"/>
      <w:r>
        <w:rPr>
          <w:rFonts w:ascii="Times New Roman" w:hAnsi="Times New Roman"/>
          <w:strike/>
        </w:rPr>
        <w:t xml:space="preserve"> NESTA INSTRUÇÃO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lastRenderedPageBreak/>
        <w:t xml:space="preserve">IV – ESTABELECER PRAZOS PARA CONVERSÃO (APURAÇÃO DO VALOR DA COTA) E PARA PAGAMENTO DE RESGATES DIFERENTES DAQUELES </w:t>
      </w:r>
      <w:proofErr w:type="gramStart"/>
      <w:r>
        <w:rPr>
          <w:rFonts w:ascii="Times New Roman" w:hAnsi="Times New Roman"/>
        </w:rPr>
        <w:t>O PREVISTOS</w:t>
      </w:r>
      <w:proofErr w:type="gramEnd"/>
      <w:r>
        <w:rPr>
          <w:rFonts w:ascii="Times New Roman" w:hAnsi="Times New Roman"/>
        </w:rPr>
        <w:t xml:space="preserve"> NESTA INSTRUÇÃO.</w:t>
      </w:r>
    </w:p>
    <w:p w:rsidR="00B2445D" w:rsidRDefault="00B2445D" w:rsidP="00B2445D">
      <w:pPr>
        <w:pStyle w:val="NormalWeb"/>
        <w:ind w:firstLine="567"/>
        <w:jc w:val="both"/>
        <w:rPr>
          <w:rFonts w:ascii="Times New Roman" w:hAnsi="Times New Roman"/>
        </w:rPr>
      </w:pPr>
    </w:p>
    <w:p w:rsidR="00B2445D" w:rsidRDefault="00B2445D" w:rsidP="00B2445D">
      <w:pPr>
        <w:pStyle w:val="NormalWeb"/>
        <w:numPr>
          <w:ilvl w:val="0"/>
          <w:numId w:val="72"/>
        </w:numPr>
        <w:ind w:left="0" w:firstLine="567"/>
        <w:jc w:val="both"/>
        <w:rPr>
          <w:rFonts w:ascii="Times New Roman" w:hAnsi="Times New Roman"/>
          <w:b/>
        </w:rPr>
      </w:pPr>
      <w:r>
        <w:rPr>
          <w:rFonts w:ascii="Times New Roman" w:hAnsi="Times New Roman"/>
          <w:b/>
        </w:rPr>
        <w:t xml:space="preserve">Item IV com redação dada pela Instrução CVM nº 411, de 26 de novembro de 2004. </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both"/>
        <w:rPr>
          <w:rFonts w:ascii="Times New Roman" w:hAnsi="Times New Roman"/>
        </w:rPr>
      </w:pPr>
      <w:r>
        <w:rPr>
          <w:rFonts w:ascii="Times New Roman" w:hAnsi="Times New Roman"/>
        </w:rPr>
        <w:t xml:space="preserve">COMO </w:t>
      </w:r>
      <w:proofErr w:type="gramStart"/>
      <w:r>
        <w:rPr>
          <w:rFonts w:ascii="Times New Roman" w:hAnsi="Times New Roman"/>
        </w:rPr>
        <w:t>INVESTIDOR QUALIFICADO ATESTO</w:t>
      </w:r>
      <w:proofErr w:type="gramEnd"/>
      <w:r>
        <w:rPr>
          <w:rFonts w:ascii="Times New Roman" w:hAnsi="Times New Roman"/>
        </w:rPr>
        <w:t xml:space="preserve"> SER CAPAZ DE ENTENDER, PONDERAR E ASSUMIR OS RISCOS FINANCEIROS RELACIONADOS À APLICAÇÃO DE MEUS RECURSOS EM UM FUNDO DE INVESTIMENTO DESTINADO A INVESTIDORES QUALIFICADOS.</w:t>
      </w:r>
    </w:p>
    <w:p w:rsidR="00B2445D" w:rsidRDefault="00B2445D" w:rsidP="00B2445D">
      <w:pPr>
        <w:pStyle w:val="NormalWeb"/>
        <w:ind w:firstLine="567"/>
        <w:jc w:val="both"/>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DATA E LOCAL,</w:t>
      </w: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p>
    <w:p w:rsidR="00B2445D" w:rsidRDefault="00B2445D" w:rsidP="00B2445D">
      <w:pPr>
        <w:pStyle w:val="NormalWeb"/>
        <w:ind w:firstLine="567"/>
        <w:jc w:val="center"/>
        <w:rPr>
          <w:rFonts w:ascii="Times New Roman" w:hAnsi="Times New Roman"/>
        </w:rPr>
      </w:pPr>
      <w:r>
        <w:rPr>
          <w:rFonts w:ascii="Times New Roman" w:hAnsi="Times New Roman"/>
        </w:rPr>
        <w:t>_____________________</w:t>
      </w:r>
    </w:p>
    <w:p w:rsidR="00B2445D" w:rsidRDefault="00B2445D" w:rsidP="00B2445D">
      <w:pPr>
        <w:pStyle w:val="NormalWeb"/>
        <w:ind w:firstLine="567"/>
        <w:jc w:val="center"/>
        <w:rPr>
          <w:rFonts w:ascii="Times New Roman" w:hAnsi="Times New Roman"/>
        </w:rPr>
      </w:pPr>
      <w:r>
        <w:rPr>
          <w:rFonts w:ascii="Times New Roman" w:hAnsi="Times New Roman"/>
        </w:rPr>
        <w:t>[INSERIR NOME]</w:t>
      </w:r>
    </w:p>
    <w:p w:rsidR="00B2445D" w:rsidRDefault="00B2445D" w:rsidP="00B2445D">
      <w:pPr>
        <w:pStyle w:val="NormalWeb"/>
        <w:numPr>
          <w:ilvl w:val="0"/>
          <w:numId w:val="14"/>
        </w:numPr>
        <w:ind w:left="0" w:firstLine="567"/>
        <w:jc w:val="both"/>
        <w:rPr>
          <w:rFonts w:ascii="Times New Roman" w:hAnsi="Times New Roman" w:cs="Times New Roman"/>
          <w:b/>
        </w:rPr>
      </w:pPr>
      <w:r>
        <w:br w:type="page"/>
      </w:r>
      <w:r>
        <w:rPr>
          <w:rFonts w:ascii="Times New Roman" w:hAnsi="Times New Roman" w:cs="Times New Roman"/>
          <w:b/>
          <w:bCs/>
        </w:rPr>
        <w:lastRenderedPageBreak/>
        <w:t xml:space="preserve">Anexo II </w:t>
      </w:r>
      <w:r>
        <w:rPr>
          <w:rFonts w:ascii="Times New Roman" w:hAnsi="Times New Roman" w:cs="Times New Roman"/>
          <w:b/>
        </w:rPr>
        <w:t xml:space="preserve">incluído pela Instrução CVM nº 450, de 30 de março de 2007. </w:t>
      </w:r>
    </w:p>
    <w:p w:rsidR="00B2445D" w:rsidRDefault="00B2445D" w:rsidP="00B2445D">
      <w:pPr>
        <w:pStyle w:val="NormalWeb"/>
        <w:jc w:val="both"/>
        <w:rPr>
          <w:rFonts w:ascii="Times New Roman" w:hAnsi="Times New Roman" w:cs="Times New Roman"/>
          <w:b/>
        </w:rPr>
      </w:pPr>
    </w:p>
    <w:p w:rsidR="00B2445D" w:rsidRDefault="00B2445D" w:rsidP="00B2445D">
      <w:pPr>
        <w:pStyle w:val="Title"/>
        <w:spacing w:line="312" w:lineRule="auto"/>
        <w:ind w:firstLine="567"/>
        <w:rPr>
          <w:b w:val="0"/>
        </w:rPr>
      </w:pPr>
      <w:r>
        <w:rPr>
          <w:b w:val="0"/>
          <w:bCs w:val="0"/>
        </w:rPr>
        <w:t>ANEXO II</w:t>
      </w:r>
    </w:p>
    <w:p w:rsidR="00B2445D" w:rsidRDefault="00B2445D" w:rsidP="00B2445D">
      <w:pPr>
        <w:jc w:val="center"/>
      </w:pPr>
    </w:p>
    <w:p w:rsidR="00B2445D" w:rsidRDefault="00B2445D" w:rsidP="00B2445D">
      <w:pPr>
        <w:jc w:val="center"/>
        <w:rPr>
          <w:rFonts w:eastAsia="Arial Unicode MS"/>
          <w:b/>
          <w:color w:val="000000"/>
        </w:rPr>
      </w:pPr>
      <w:r>
        <w:rPr>
          <w:rFonts w:eastAsia="Arial Unicode MS"/>
          <w:b/>
          <w:color w:val="000000"/>
        </w:rPr>
        <w:t>TERMO DE CIÊNCIA DE RISCO DE CRÉDITO</w:t>
      </w:r>
    </w:p>
    <w:p w:rsidR="00B2445D" w:rsidRDefault="00B2445D" w:rsidP="00B2445D">
      <w:pPr>
        <w:jc w:val="center"/>
        <w:rPr>
          <w:rFonts w:eastAsia="Arial Unicode MS"/>
          <w:b/>
          <w:color w:val="000000"/>
        </w:rPr>
      </w:pPr>
    </w:p>
    <w:p w:rsidR="00B2445D" w:rsidRDefault="00B2445D" w:rsidP="00B2445D">
      <w:pPr>
        <w:jc w:val="center"/>
        <w:rPr>
          <w:rFonts w:eastAsia="Arial Unicode MS"/>
          <w:b/>
          <w:color w:val="000000"/>
        </w:rPr>
      </w:pPr>
      <w:r>
        <w:rPr>
          <w:rFonts w:eastAsia="Arial Unicode MS"/>
          <w:b/>
          <w:color w:val="000000"/>
        </w:rPr>
        <w:t>AO ASSINAR ESTE TERMO ESTOU AFIRMANDO QUE TENHO CIÊNCIA DE QUE:</w:t>
      </w:r>
    </w:p>
    <w:p w:rsidR="00B2445D" w:rsidRDefault="00B2445D" w:rsidP="00B2445D">
      <w:pPr>
        <w:jc w:val="both"/>
        <w:rPr>
          <w:rFonts w:eastAsia="Arial Unicode MS"/>
          <w:color w:val="000000"/>
        </w:rPr>
      </w:pPr>
    </w:p>
    <w:p w:rsidR="00B2445D" w:rsidRDefault="00B2445D" w:rsidP="00B2445D">
      <w:pPr>
        <w:pStyle w:val="NormalWeb"/>
        <w:ind w:firstLine="567"/>
        <w:jc w:val="both"/>
        <w:rPr>
          <w:rFonts w:ascii="Times New Roman" w:hAnsi="Times New Roman"/>
        </w:rPr>
      </w:pPr>
      <w:r>
        <w:rPr>
          <w:rFonts w:ascii="Times New Roman" w:hAnsi="Times New Roman"/>
        </w:rPr>
        <w:t>I – o fundo [nome] [</w:t>
      </w:r>
      <w:proofErr w:type="spellStart"/>
      <w:proofErr w:type="gramStart"/>
      <w:r>
        <w:rPr>
          <w:rFonts w:ascii="Times New Roman" w:hAnsi="Times New Roman"/>
        </w:rPr>
        <w:t>cnpj</w:t>
      </w:r>
      <w:proofErr w:type="spellEnd"/>
      <w:proofErr w:type="gramEnd"/>
      <w:r>
        <w:rPr>
          <w:rFonts w:ascii="Times New Roman" w:hAnsi="Times New Roman"/>
        </w:rPr>
        <w:t>], do qual participarei como investidor, poderá adquirir títulos de responsabilidade de emissores privados, ou de emissores públicos outros que não a União Federal, em montante superior a 50% (</w:t>
      </w:r>
      <w:proofErr w:type="spellStart"/>
      <w:r>
        <w:rPr>
          <w:rFonts w:ascii="Times New Roman" w:hAnsi="Times New Roman"/>
        </w:rPr>
        <w:t>cinqüenta</w:t>
      </w:r>
      <w:proofErr w:type="spellEnd"/>
      <w:r>
        <w:rPr>
          <w:rFonts w:ascii="Times New Roman" w:hAnsi="Times New Roman"/>
        </w:rPr>
        <w:t xml:space="preserve"> por cento) do patrimônio líquido do fundo;</w:t>
      </w:r>
    </w:p>
    <w:p w:rsidR="00B2445D" w:rsidRDefault="00B2445D" w:rsidP="00B2445D">
      <w:pPr>
        <w:jc w:val="both"/>
        <w:rPr>
          <w:rFonts w:eastAsia="Arial Unicode MS"/>
          <w:color w:val="000000"/>
        </w:rPr>
      </w:pPr>
    </w:p>
    <w:p w:rsidR="00B2445D" w:rsidRDefault="00B2445D" w:rsidP="00B2445D">
      <w:pPr>
        <w:pStyle w:val="NormalWeb"/>
        <w:ind w:firstLine="567"/>
        <w:jc w:val="both"/>
        <w:rPr>
          <w:rFonts w:ascii="Times New Roman" w:hAnsi="Times New Roman"/>
        </w:rPr>
      </w:pPr>
      <w:r>
        <w:rPr>
          <w:rFonts w:ascii="Times New Roman" w:hAnsi="Times New Roman"/>
        </w:rPr>
        <w:t xml:space="preserve">II </w:t>
      </w:r>
      <w:proofErr w:type="gramStart"/>
      <w:r>
        <w:rPr>
          <w:rFonts w:ascii="Times New Roman" w:hAnsi="Times New Roman"/>
        </w:rPr>
        <w:t>–existe</w:t>
      </w:r>
      <w:proofErr w:type="gramEnd"/>
      <w:r>
        <w:rPr>
          <w:rFonts w:ascii="Times New Roman" w:hAnsi="Times New Roman"/>
        </w:rPr>
        <w:t xml:space="preserve"> a possibilidade de perda substancial de patrimônio líquido do fundo em caso de não pagamento dos títulos que compõem a sua carteira;</w:t>
      </w:r>
    </w:p>
    <w:p w:rsidR="00B2445D" w:rsidRDefault="00B2445D" w:rsidP="00B2445D">
      <w:pPr>
        <w:jc w:val="both"/>
        <w:rPr>
          <w:rFonts w:eastAsia="Arial Unicode MS"/>
          <w:color w:val="000000"/>
        </w:rPr>
      </w:pPr>
    </w:p>
    <w:p w:rsidR="00B2445D" w:rsidRDefault="00B2445D" w:rsidP="00B2445D">
      <w:pPr>
        <w:pStyle w:val="NormalWeb"/>
        <w:ind w:firstLine="567"/>
        <w:jc w:val="both"/>
        <w:rPr>
          <w:rFonts w:ascii="Times New Roman" w:hAnsi="Times New Roman"/>
        </w:rPr>
      </w:pPr>
      <w:r>
        <w:rPr>
          <w:rFonts w:ascii="Times New Roman" w:hAnsi="Times New Roman"/>
        </w:rPr>
        <w:t xml:space="preserve">Mesmo ciente desses riscos, depois da </w:t>
      </w:r>
      <w:r>
        <w:rPr>
          <w:rFonts w:ascii="Times New Roman" w:hAnsi="Times New Roman"/>
          <w:b/>
        </w:rPr>
        <w:t>LEITURA ATENTA</w:t>
      </w:r>
      <w:r>
        <w:rPr>
          <w:rFonts w:ascii="Times New Roman" w:hAnsi="Times New Roman"/>
        </w:rPr>
        <w:t xml:space="preserve"> desta declaração, cujos termos </w:t>
      </w:r>
      <w:r>
        <w:rPr>
          <w:rFonts w:ascii="Times New Roman" w:hAnsi="Times New Roman"/>
          <w:b/>
        </w:rPr>
        <w:t>PODERÃO SER USADOS PARA AFASTAR A RESPONSABILIDADE DO ADMINISTRADOR E DO GESTOR</w:t>
      </w:r>
      <w:r>
        <w:rPr>
          <w:rFonts w:ascii="Times New Roman" w:hAnsi="Times New Roman"/>
        </w:rPr>
        <w:t>, desde que eles cumpram com suas obrigações, tomei a decisão de realizar o investimento no fundo [nome] [</w:t>
      </w:r>
      <w:proofErr w:type="spellStart"/>
      <w:proofErr w:type="gramStart"/>
      <w:r>
        <w:rPr>
          <w:rFonts w:ascii="Times New Roman" w:hAnsi="Times New Roman"/>
        </w:rPr>
        <w:t>cnpj</w:t>
      </w:r>
      <w:proofErr w:type="spellEnd"/>
      <w:proofErr w:type="gramEnd"/>
      <w:r>
        <w:rPr>
          <w:rFonts w:ascii="Times New Roman" w:hAnsi="Times New Roman"/>
        </w:rPr>
        <w:t>].</w:t>
      </w:r>
    </w:p>
    <w:p w:rsidR="00B2445D" w:rsidRDefault="00B2445D" w:rsidP="00B2445D">
      <w:pPr>
        <w:jc w:val="both"/>
        <w:rPr>
          <w:rFonts w:eastAsia="Arial Unicode MS"/>
          <w:color w:val="000000"/>
        </w:rPr>
      </w:pPr>
    </w:p>
    <w:p w:rsidR="00B2445D" w:rsidRDefault="00B2445D" w:rsidP="00B2445D">
      <w:pPr>
        <w:jc w:val="both"/>
        <w:rPr>
          <w:rFonts w:eastAsia="Arial Unicode MS"/>
          <w:color w:val="000000"/>
        </w:rPr>
      </w:pPr>
    </w:p>
    <w:p w:rsidR="00B2445D" w:rsidRDefault="00B2445D" w:rsidP="00B2445D">
      <w:pPr>
        <w:jc w:val="center"/>
        <w:rPr>
          <w:rFonts w:eastAsia="Arial Unicode MS"/>
          <w:color w:val="000000"/>
        </w:rPr>
      </w:pPr>
      <w:r>
        <w:rPr>
          <w:rFonts w:eastAsia="Arial Unicode MS"/>
          <w:color w:val="000000"/>
        </w:rPr>
        <w:t>[DATA E LOCAL],</w:t>
      </w:r>
    </w:p>
    <w:p w:rsidR="00B2445D" w:rsidRDefault="00B2445D" w:rsidP="00B2445D">
      <w:pPr>
        <w:jc w:val="center"/>
        <w:rPr>
          <w:rFonts w:eastAsia="Arial Unicode MS"/>
          <w:color w:val="000000"/>
        </w:rPr>
      </w:pPr>
    </w:p>
    <w:p w:rsidR="00B2445D" w:rsidRDefault="00B2445D" w:rsidP="00B2445D">
      <w:pPr>
        <w:jc w:val="center"/>
        <w:rPr>
          <w:rFonts w:eastAsia="Arial Unicode MS"/>
          <w:color w:val="000000"/>
        </w:rPr>
      </w:pPr>
      <w:r>
        <w:rPr>
          <w:rFonts w:eastAsia="Arial Unicode MS"/>
          <w:color w:val="000000"/>
        </w:rPr>
        <w:t>_____________________</w:t>
      </w:r>
    </w:p>
    <w:p w:rsidR="00B2445D" w:rsidRDefault="00B2445D" w:rsidP="00B2445D">
      <w:pPr>
        <w:jc w:val="center"/>
        <w:rPr>
          <w:rFonts w:eastAsia="Arial Unicode MS"/>
          <w:color w:val="000000"/>
        </w:rPr>
      </w:pPr>
      <w:r>
        <w:rPr>
          <w:rFonts w:eastAsia="Arial Unicode MS"/>
          <w:color w:val="000000"/>
        </w:rPr>
        <w:t>[INSERIR NOME]</w:t>
      </w:r>
    </w:p>
    <w:p w:rsidR="00B2445D" w:rsidRDefault="00B2445D" w:rsidP="00B2445D">
      <w:pPr>
        <w:jc w:val="center"/>
      </w:pPr>
      <w:r>
        <w:rPr>
          <w:rFonts w:eastAsia="Arial Unicode MS"/>
          <w:color w:val="000000"/>
        </w:rPr>
        <w:t>[</w:t>
      </w:r>
      <w:proofErr w:type="gramStart"/>
      <w:r>
        <w:rPr>
          <w:rFonts w:eastAsia="Arial Unicode MS"/>
          <w:color w:val="000000"/>
        </w:rPr>
        <w:t>C.P.</w:t>
      </w:r>
      <w:proofErr w:type="gramEnd"/>
      <w:r>
        <w:rPr>
          <w:rFonts w:eastAsia="Arial Unicode MS"/>
          <w:color w:val="000000"/>
        </w:rPr>
        <w:t>F OU C.N.P.J. DO INVESTIDOR]</w:t>
      </w:r>
    </w:p>
    <w:p w:rsidR="00B2445D" w:rsidRDefault="00B2445D" w:rsidP="00B2445D">
      <w:pPr>
        <w:spacing w:line="312" w:lineRule="auto"/>
        <w:jc w:val="center"/>
        <w:rPr>
          <w:bCs/>
        </w:rPr>
      </w:pPr>
      <w:r>
        <w:rPr>
          <w:bCs/>
        </w:rPr>
        <w:t xml:space="preserve">ANEXO </w:t>
      </w:r>
      <w:proofErr w:type="gramStart"/>
      <w:r>
        <w:rPr>
          <w:bCs/>
        </w:rPr>
        <w:t>1</w:t>
      </w:r>
      <w:proofErr w:type="gramEnd"/>
      <w:r>
        <w:rPr>
          <w:bCs/>
        </w:rPr>
        <w:t xml:space="preserve"> À INSTRUÇÃO CVM Nº 512, DE 20 DE DEZEMBRO DE 2011</w:t>
      </w:r>
    </w:p>
    <w:p w:rsidR="00B2445D" w:rsidRDefault="00B2445D" w:rsidP="00B2445D">
      <w:pPr>
        <w:pStyle w:val="Title"/>
        <w:spacing w:line="312" w:lineRule="auto"/>
        <w:ind w:firstLine="567"/>
        <w:rPr>
          <w:b w:val="0"/>
          <w:bCs w:val="0"/>
        </w:rPr>
      </w:pPr>
    </w:p>
    <w:p w:rsidR="00B2445D" w:rsidRDefault="00B2445D" w:rsidP="00B2445D">
      <w:pPr>
        <w:pStyle w:val="NormalWeb"/>
        <w:ind w:firstLine="567"/>
        <w:jc w:val="both"/>
        <w:rPr>
          <w:rFonts w:ascii="Times New Roman" w:hAnsi="Times New Roman"/>
        </w:rPr>
      </w:pPr>
      <w:r>
        <w:rPr>
          <w:b/>
          <w:bCs/>
        </w:rPr>
        <w:br w:type="page"/>
      </w:r>
    </w:p>
    <w:p w:rsidR="00B2445D" w:rsidRDefault="00B2445D" w:rsidP="00B2445D">
      <w:pPr>
        <w:pStyle w:val="NormalWeb"/>
        <w:ind w:left="540"/>
        <w:jc w:val="both"/>
        <w:rPr>
          <w:rFonts w:ascii="Times New Roman" w:hAnsi="Times New Roman"/>
          <w:b/>
        </w:rPr>
      </w:pPr>
      <w:r>
        <w:rPr>
          <w:rFonts w:ascii="Times New Roman" w:hAnsi="Times New Roman"/>
          <w:b/>
        </w:rPr>
        <w:lastRenderedPageBreak/>
        <w:t xml:space="preserve">Anexo III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left="540"/>
        <w:jc w:val="both"/>
        <w:rPr>
          <w:rFonts w:ascii="Times New Roman" w:hAnsi="Times New Roman"/>
          <w:b/>
        </w:rPr>
      </w:pPr>
    </w:p>
    <w:p w:rsidR="00B2445D" w:rsidRDefault="00B2445D" w:rsidP="00B2445D">
      <w:pPr>
        <w:spacing w:line="312" w:lineRule="auto"/>
        <w:jc w:val="center"/>
        <w:outlineLvl w:val="0"/>
        <w:rPr>
          <w:color w:val="000000"/>
        </w:rPr>
      </w:pPr>
      <w:r>
        <w:rPr>
          <w:color w:val="000000"/>
        </w:rPr>
        <w:t>ANEXO III</w:t>
      </w:r>
    </w:p>
    <w:p w:rsidR="00B2445D" w:rsidRDefault="00B2445D" w:rsidP="00B2445D">
      <w:pPr>
        <w:spacing w:line="312" w:lineRule="auto"/>
        <w:jc w:val="center"/>
        <w:outlineLvl w:val="0"/>
        <w:rPr>
          <w:color w:val="000000"/>
        </w:rPr>
      </w:pPr>
      <w:r>
        <w:rPr>
          <w:color w:val="000000"/>
        </w:rPr>
        <w:t xml:space="preserve">MODELO DE </w:t>
      </w:r>
      <w:r>
        <w:rPr>
          <w:bCs/>
          <w:color w:val="0D0D0D"/>
        </w:rPr>
        <w:t>LÂMINA</w:t>
      </w:r>
    </w:p>
    <w:p w:rsidR="00B2445D" w:rsidRDefault="00B2445D" w:rsidP="00B2445D">
      <w:pPr>
        <w:spacing w:line="312" w:lineRule="auto"/>
        <w:jc w:val="center"/>
        <w:outlineLvl w:val="0"/>
        <w:rPr>
          <w:color w:val="000000"/>
        </w:rPr>
      </w:pPr>
      <w:r>
        <w:rPr>
          <w:color w:val="000000"/>
        </w:rPr>
        <w:t xml:space="preserve"> </w:t>
      </w:r>
    </w:p>
    <w:p w:rsidR="00B2445D" w:rsidRDefault="00B2445D" w:rsidP="00B2445D">
      <w:pPr>
        <w:spacing w:line="312" w:lineRule="auto"/>
        <w:jc w:val="center"/>
        <w:rPr>
          <w:b/>
          <w:bCs/>
          <w:color w:val="0D0D0D"/>
        </w:rPr>
      </w:pPr>
      <w:r>
        <w:rPr>
          <w:b/>
          <w:bCs/>
          <w:color w:val="0D0D0D"/>
        </w:rPr>
        <w:t>LÂMINA DE INFORMAÇÕES ESSENCIAIS SOBRE O [nome de fantasia do fundo]</w:t>
      </w:r>
    </w:p>
    <w:p w:rsidR="00B2445D" w:rsidRDefault="00B2445D" w:rsidP="00B2445D">
      <w:pPr>
        <w:spacing w:line="312" w:lineRule="auto"/>
        <w:jc w:val="center"/>
        <w:rPr>
          <w:b/>
          <w:bCs/>
          <w:color w:val="000000"/>
        </w:rPr>
      </w:pPr>
      <w:r>
        <w:rPr>
          <w:b/>
          <w:color w:val="000000"/>
        </w:rPr>
        <w:t xml:space="preserve"> [CNPJ do fundo]</w:t>
      </w:r>
    </w:p>
    <w:p w:rsidR="00B2445D" w:rsidRDefault="00B2445D" w:rsidP="00B2445D">
      <w:pPr>
        <w:spacing w:line="312" w:lineRule="auto"/>
        <w:jc w:val="center"/>
        <w:rPr>
          <w:b/>
          <w:bCs/>
          <w:color w:val="000000"/>
        </w:rPr>
      </w:pPr>
      <w:r>
        <w:rPr>
          <w:b/>
          <w:bCs/>
          <w:color w:val="000000"/>
        </w:rPr>
        <w:t xml:space="preserve">Informações referentes </w:t>
      </w:r>
      <w:proofErr w:type="gramStart"/>
      <w:r>
        <w:rPr>
          <w:b/>
          <w:bCs/>
          <w:color w:val="000000"/>
        </w:rPr>
        <w:t>a</w:t>
      </w:r>
      <w:proofErr w:type="gramEnd"/>
      <w:r>
        <w:rPr>
          <w:b/>
          <w:bCs/>
          <w:color w:val="000000"/>
        </w:rPr>
        <w:t xml:space="preserve"> [mês] de [ano]</w:t>
      </w:r>
    </w:p>
    <w:p w:rsidR="00B2445D" w:rsidRDefault="00B2445D" w:rsidP="00B2445D">
      <w:pPr>
        <w:spacing w:line="312" w:lineRule="auto"/>
        <w:jc w:val="center"/>
        <w:rPr>
          <w:color w:val="000000"/>
        </w:rPr>
      </w:pPr>
      <w:r>
        <w:rPr>
          <w:b/>
          <w:bCs/>
          <w:color w:val="000000"/>
        </w:rPr>
        <w:tab/>
      </w:r>
      <w:r>
        <w:rPr>
          <w:color w:val="000000"/>
        </w:rPr>
        <w:tab/>
      </w:r>
    </w:p>
    <w:p w:rsidR="00B2445D" w:rsidRDefault="00B2445D" w:rsidP="00B2445D">
      <w:pPr>
        <w:pStyle w:val="BodyText2"/>
        <w:spacing w:after="0" w:line="312" w:lineRule="auto"/>
        <w:jc w:val="both"/>
        <w:rPr>
          <w:color w:val="000000"/>
        </w:rPr>
      </w:pPr>
      <w:proofErr w:type="spellStart"/>
      <w:r>
        <w:rPr>
          <w:color w:val="000000"/>
        </w:rPr>
        <w:t>Esta</w:t>
      </w:r>
      <w:proofErr w:type="spellEnd"/>
      <w:r>
        <w:rPr>
          <w:color w:val="000000"/>
        </w:rPr>
        <w:t xml:space="preserve"> </w:t>
      </w:r>
      <w:proofErr w:type="spellStart"/>
      <w:r>
        <w:rPr>
          <w:color w:val="000000"/>
        </w:rPr>
        <w:t>lâmina</w:t>
      </w:r>
      <w:proofErr w:type="spellEnd"/>
      <w:r>
        <w:rPr>
          <w:color w:val="000000"/>
        </w:rPr>
        <w:t xml:space="preserve"> </w:t>
      </w:r>
      <w:proofErr w:type="spellStart"/>
      <w:r>
        <w:rPr>
          <w:color w:val="000000"/>
        </w:rPr>
        <w:t>contém</w:t>
      </w:r>
      <w:proofErr w:type="spellEnd"/>
      <w:r>
        <w:rPr>
          <w:color w:val="000000"/>
        </w:rPr>
        <w:t xml:space="preserve"> um </w:t>
      </w:r>
      <w:proofErr w:type="spellStart"/>
      <w:r>
        <w:rPr>
          <w:color w:val="000000"/>
        </w:rPr>
        <w:t>resumo</w:t>
      </w:r>
      <w:proofErr w:type="spellEnd"/>
      <w:r>
        <w:rPr>
          <w:color w:val="000000"/>
        </w:rPr>
        <w:t xml:space="preserve"> das </w:t>
      </w:r>
      <w:proofErr w:type="spellStart"/>
      <w:r>
        <w:rPr>
          <w:color w:val="000000"/>
        </w:rPr>
        <w:t>informações</w:t>
      </w:r>
      <w:proofErr w:type="spellEnd"/>
      <w:r>
        <w:rPr>
          <w:color w:val="000000"/>
        </w:rPr>
        <w:t xml:space="preserve"> </w:t>
      </w:r>
      <w:proofErr w:type="spellStart"/>
      <w:r>
        <w:rPr>
          <w:color w:val="000000"/>
        </w:rPr>
        <w:t>essenciais</w:t>
      </w:r>
      <w:proofErr w:type="spellEnd"/>
      <w:r>
        <w:rPr>
          <w:color w:val="000000"/>
        </w:rPr>
        <w:t xml:space="preserve"> </w:t>
      </w:r>
      <w:proofErr w:type="spellStart"/>
      <w:r>
        <w:rPr>
          <w:color w:val="000000"/>
        </w:rPr>
        <w:t>sobre</w:t>
      </w:r>
      <w:proofErr w:type="spellEnd"/>
      <w:r>
        <w:rPr>
          <w:color w:val="000000"/>
        </w:rPr>
        <w:t xml:space="preserve"> o </w:t>
      </w:r>
      <w:r>
        <w:rPr>
          <w:b/>
          <w:color w:val="000000"/>
        </w:rPr>
        <w:t>[</w:t>
      </w:r>
      <w:proofErr w:type="spellStart"/>
      <w:r>
        <w:rPr>
          <w:b/>
          <w:color w:val="000000"/>
        </w:rPr>
        <w:t>nome</w:t>
      </w:r>
      <w:proofErr w:type="spellEnd"/>
      <w:r>
        <w:rPr>
          <w:b/>
          <w:color w:val="000000"/>
        </w:rPr>
        <w:t xml:space="preserve"> </w:t>
      </w:r>
      <w:proofErr w:type="spellStart"/>
      <w:r>
        <w:rPr>
          <w:b/>
          <w:color w:val="000000"/>
        </w:rPr>
        <w:t>completo</w:t>
      </w:r>
      <w:proofErr w:type="spellEnd"/>
      <w:r>
        <w:rPr>
          <w:b/>
          <w:color w:val="000000"/>
        </w:rPr>
        <w:t xml:space="preserve"> do </w:t>
      </w:r>
      <w:proofErr w:type="spellStart"/>
      <w:r>
        <w:rPr>
          <w:b/>
          <w:color w:val="000000"/>
        </w:rPr>
        <w:t>fundo</w:t>
      </w:r>
      <w:proofErr w:type="spellEnd"/>
      <w:r>
        <w:rPr>
          <w:b/>
          <w:color w:val="000000"/>
        </w:rPr>
        <w:t>]</w:t>
      </w:r>
      <w:r>
        <w:rPr>
          <w:rStyle w:val="EndnoteReference"/>
          <w:color w:val="000000"/>
        </w:rPr>
        <w:endnoteReference w:id="1"/>
      </w:r>
      <w:r>
        <w:rPr>
          <w:color w:val="000000"/>
        </w:rPr>
        <w:t xml:space="preserve">. As </w:t>
      </w:r>
      <w:proofErr w:type="spellStart"/>
      <w:r>
        <w:rPr>
          <w:color w:val="000000"/>
        </w:rPr>
        <w:t>informações</w:t>
      </w:r>
      <w:proofErr w:type="spellEnd"/>
      <w:r>
        <w:rPr>
          <w:color w:val="000000"/>
        </w:rPr>
        <w:t xml:space="preserve"> </w:t>
      </w:r>
      <w:proofErr w:type="spellStart"/>
      <w:r>
        <w:rPr>
          <w:color w:val="000000"/>
        </w:rPr>
        <w:t>completas</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esse</w:t>
      </w:r>
      <w:proofErr w:type="spellEnd"/>
      <w:r>
        <w:rPr>
          <w:color w:val="000000"/>
        </w:rPr>
        <w:t xml:space="preserve"> </w:t>
      </w:r>
      <w:proofErr w:type="spellStart"/>
      <w:r>
        <w:rPr>
          <w:color w:val="000000"/>
        </w:rPr>
        <w:t>fundo</w:t>
      </w:r>
      <w:proofErr w:type="spellEnd"/>
      <w:r>
        <w:rPr>
          <w:color w:val="000000"/>
        </w:rPr>
        <w:t xml:space="preserve"> </w:t>
      </w:r>
      <w:proofErr w:type="spellStart"/>
      <w:r>
        <w:rPr>
          <w:color w:val="000000"/>
        </w:rPr>
        <w:t>podem</w:t>
      </w:r>
      <w:proofErr w:type="spellEnd"/>
      <w:r>
        <w:rPr>
          <w:color w:val="000000"/>
        </w:rPr>
        <w:t xml:space="preserve"> </w:t>
      </w:r>
      <w:proofErr w:type="spellStart"/>
      <w:r>
        <w:rPr>
          <w:color w:val="000000"/>
        </w:rPr>
        <w:t>ser</w:t>
      </w:r>
      <w:proofErr w:type="spellEnd"/>
      <w:r>
        <w:rPr>
          <w:color w:val="000000"/>
        </w:rPr>
        <w:t xml:space="preserve"> </w:t>
      </w:r>
      <w:proofErr w:type="spellStart"/>
      <w:r>
        <w:rPr>
          <w:color w:val="000000"/>
        </w:rPr>
        <w:t>obtidas</w:t>
      </w:r>
      <w:proofErr w:type="spellEnd"/>
      <w:r>
        <w:rPr>
          <w:color w:val="000000"/>
        </w:rPr>
        <w:t xml:space="preserve"> no </w:t>
      </w:r>
      <w:proofErr w:type="spellStart"/>
      <w:r>
        <w:rPr>
          <w:color w:val="000000"/>
        </w:rPr>
        <w:t>Prospecto</w:t>
      </w:r>
      <w:proofErr w:type="spellEnd"/>
      <w:r>
        <w:rPr>
          <w:color w:val="000000"/>
        </w:rPr>
        <w:t xml:space="preserve"> e no </w:t>
      </w:r>
      <w:proofErr w:type="spellStart"/>
      <w:r>
        <w:rPr>
          <w:color w:val="000000"/>
        </w:rPr>
        <w:t>Regulamento</w:t>
      </w:r>
      <w:proofErr w:type="spellEnd"/>
      <w:r>
        <w:rPr>
          <w:color w:val="000000"/>
        </w:rPr>
        <w:t xml:space="preserve"> do </w:t>
      </w:r>
      <w:proofErr w:type="spellStart"/>
      <w:r>
        <w:rPr>
          <w:color w:val="000000"/>
        </w:rPr>
        <w:t>fundo</w:t>
      </w:r>
      <w:proofErr w:type="spellEnd"/>
      <w:r>
        <w:rPr>
          <w:color w:val="000000"/>
        </w:rPr>
        <w:t xml:space="preserve">, </w:t>
      </w:r>
      <w:proofErr w:type="spellStart"/>
      <w:r>
        <w:rPr>
          <w:color w:val="000000"/>
        </w:rPr>
        <w:t>disponíveis</w:t>
      </w:r>
      <w:proofErr w:type="spellEnd"/>
      <w:r>
        <w:rPr>
          <w:color w:val="000000"/>
        </w:rPr>
        <w:t xml:space="preserve"> no </w:t>
      </w:r>
      <w:r>
        <w:rPr>
          <w:b/>
          <w:color w:val="000000"/>
        </w:rPr>
        <w:t>[</w:t>
      </w:r>
      <w:proofErr w:type="spellStart"/>
      <w:r>
        <w:rPr>
          <w:b/>
          <w:color w:val="000000"/>
        </w:rPr>
        <w:t>endereço</w:t>
      </w:r>
      <w:proofErr w:type="spellEnd"/>
      <w:r>
        <w:rPr>
          <w:b/>
          <w:color w:val="000000"/>
        </w:rPr>
        <w:t xml:space="preserve"> </w:t>
      </w:r>
      <w:proofErr w:type="spellStart"/>
      <w:r>
        <w:rPr>
          <w:b/>
          <w:color w:val="000000"/>
        </w:rPr>
        <w:t>eletrônico</w:t>
      </w:r>
      <w:proofErr w:type="spellEnd"/>
      <w:r>
        <w:rPr>
          <w:b/>
          <w:color w:val="000000"/>
        </w:rPr>
        <w:t>]</w:t>
      </w:r>
      <w:r>
        <w:rPr>
          <w:color w:val="000000"/>
        </w:rPr>
        <w:t xml:space="preserve">. As </w:t>
      </w:r>
      <w:proofErr w:type="spellStart"/>
      <w:r>
        <w:rPr>
          <w:color w:val="000000"/>
        </w:rPr>
        <w:t>informações</w:t>
      </w:r>
      <w:proofErr w:type="spellEnd"/>
      <w:r>
        <w:rPr>
          <w:color w:val="000000"/>
        </w:rPr>
        <w:t xml:space="preserve"> </w:t>
      </w:r>
      <w:proofErr w:type="spellStart"/>
      <w:r>
        <w:rPr>
          <w:color w:val="000000"/>
        </w:rPr>
        <w:t>contidas</w:t>
      </w:r>
      <w:proofErr w:type="spellEnd"/>
      <w:r>
        <w:rPr>
          <w:color w:val="000000"/>
        </w:rPr>
        <w:t xml:space="preserve"> </w:t>
      </w:r>
      <w:proofErr w:type="spellStart"/>
      <w:r>
        <w:rPr>
          <w:color w:val="000000"/>
        </w:rPr>
        <w:t>neste</w:t>
      </w:r>
      <w:proofErr w:type="spellEnd"/>
      <w:r>
        <w:rPr>
          <w:color w:val="000000"/>
        </w:rPr>
        <w:t xml:space="preserve"> material </w:t>
      </w:r>
      <w:proofErr w:type="spellStart"/>
      <w:r>
        <w:rPr>
          <w:color w:val="000000"/>
        </w:rPr>
        <w:t>são</w:t>
      </w:r>
      <w:proofErr w:type="spellEnd"/>
      <w:r>
        <w:rPr>
          <w:color w:val="000000"/>
        </w:rPr>
        <w:t xml:space="preserve"> </w:t>
      </w:r>
      <w:proofErr w:type="spellStart"/>
      <w:r>
        <w:rPr>
          <w:color w:val="000000"/>
        </w:rPr>
        <w:t>atualizadas</w:t>
      </w:r>
      <w:proofErr w:type="spellEnd"/>
      <w:r>
        <w:rPr>
          <w:color w:val="000000"/>
        </w:rPr>
        <w:t xml:space="preserve"> </w:t>
      </w:r>
      <w:proofErr w:type="spellStart"/>
      <w:r>
        <w:rPr>
          <w:color w:val="000000"/>
        </w:rPr>
        <w:t>mensalmente</w:t>
      </w:r>
      <w:proofErr w:type="spellEnd"/>
      <w:r>
        <w:rPr>
          <w:color w:val="000000"/>
        </w:rPr>
        <w:t xml:space="preserve">.  </w:t>
      </w:r>
      <w:proofErr w:type="spellStart"/>
      <w:r>
        <w:rPr>
          <w:color w:val="000000"/>
        </w:rPr>
        <w:t>Ao</w:t>
      </w:r>
      <w:proofErr w:type="spellEnd"/>
      <w:r>
        <w:rPr>
          <w:color w:val="000000"/>
        </w:rPr>
        <w:t xml:space="preserve"> </w:t>
      </w:r>
      <w:proofErr w:type="spellStart"/>
      <w:r>
        <w:rPr>
          <w:color w:val="000000"/>
        </w:rPr>
        <w:t>realizar</w:t>
      </w:r>
      <w:proofErr w:type="spellEnd"/>
      <w:r>
        <w:rPr>
          <w:color w:val="000000"/>
        </w:rPr>
        <w:t xml:space="preserve"> </w:t>
      </w:r>
      <w:proofErr w:type="spellStart"/>
      <w:r>
        <w:rPr>
          <w:color w:val="000000"/>
        </w:rPr>
        <w:t>aplicações</w:t>
      </w:r>
      <w:proofErr w:type="spellEnd"/>
      <w:r>
        <w:rPr>
          <w:color w:val="000000"/>
        </w:rPr>
        <w:t xml:space="preserve"> </w:t>
      </w:r>
      <w:proofErr w:type="spellStart"/>
      <w:r>
        <w:rPr>
          <w:color w:val="000000"/>
        </w:rPr>
        <w:t>adicionais</w:t>
      </w:r>
      <w:proofErr w:type="spellEnd"/>
      <w:r>
        <w:rPr>
          <w:color w:val="000000"/>
        </w:rPr>
        <w:t xml:space="preserve">, </w:t>
      </w:r>
      <w:proofErr w:type="spellStart"/>
      <w:r>
        <w:rPr>
          <w:color w:val="000000"/>
        </w:rPr>
        <w:t>consulte</w:t>
      </w:r>
      <w:proofErr w:type="spellEnd"/>
      <w:r>
        <w:rPr>
          <w:color w:val="000000"/>
        </w:rPr>
        <w:t xml:space="preserve"> a </w:t>
      </w:r>
      <w:proofErr w:type="spellStart"/>
      <w:r>
        <w:rPr>
          <w:color w:val="000000"/>
        </w:rPr>
        <w:t>sua</w:t>
      </w:r>
      <w:proofErr w:type="spellEnd"/>
      <w:r>
        <w:rPr>
          <w:color w:val="000000"/>
        </w:rPr>
        <w:t xml:space="preserve"> </w:t>
      </w:r>
      <w:proofErr w:type="spellStart"/>
      <w:r>
        <w:rPr>
          <w:color w:val="000000"/>
        </w:rPr>
        <w:t>versão</w:t>
      </w:r>
      <w:proofErr w:type="spellEnd"/>
      <w:r>
        <w:rPr>
          <w:color w:val="000000"/>
        </w:rPr>
        <w:t xml:space="preserve"> </w:t>
      </w:r>
      <w:proofErr w:type="spellStart"/>
      <w:r>
        <w:rPr>
          <w:color w:val="000000"/>
        </w:rPr>
        <w:t>mais</w:t>
      </w:r>
      <w:proofErr w:type="spellEnd"/>
      <w:r>
        <w:rPr>
          <w:color w:val="000000"/>
        </w:rPr>
        <w:t xml:space="preserve"> </w:t>
      </w:r>
      <w:proofErr w:type="spellStart"/>
      <w:r>
        <w:rPr>
          <w:color w:val="000000"/>
        </w:rPr>
        <w:t>atualizada</w:t>
      </w:r>
      <w:proofErr w:type="spellEnd"/>
      <w:r>
        <w:rPr>
          <w:color w:val="000000"/>
        </w:rPr>
        <w:t xml:space="preserve">. </w:t>
      </w:r>
    </w:p>
    <w:p w:rsidR="00B2445D" w:rsidRDefault="00B2445D" w:rsidP="00B2445D">
      <w:pPr>
        <w:tabs>
          <w:tab w:val="num" w:pos="567"/>
        </w:tabs>
        <w:spacing w:line="312" w:lineRule="auto"/>
        <w:jc w:val="both"/>
        <w:rPr>
          <w:b/>
          <w:color w:val="000000"/>
        </w:rPr>
      </w:pPr>
    </w:p>
    <w:p w:rsidR="00B2445D" w:rsidRDefault="00B2445D" w:rsidP="00B2445D">
      <w:pPr>
        <w:numPr>
          <w:ilvl w:val="0"/>
          <w:numId w:val="73"/>
        </w:numPr>
        <w:tabs>
          <w:tab w:val="num" w:pos="567"/>
        </w:tabs>
        <w:spacing w:line="312" w:lineRule="auto"/>
        <w:ind w:left="0" w:firstLine="0"/>
        <w:jc w:val="both"/>
        <w:rPr>
          <w:color w:val="000000"/>
        </w:rPr>
      </w:pPr>
      <w:r>
        <w:rPr>
          <w:b/>
          <w:color w:val="000000"/>
        </w:rPr>
        <w:t>PÚBLICO-ALVO:</w:t>
      </w:r>
      <w:r>
        <w:rPr>
          <w:color w:val="000000"/>
        </w:rPr>
        <w:t xml:space="preserve"> o fundo</w:t>
      </w:r>
      <w:r>
        <w:rPr>
          <w:b/>
          <w:color w:val="000000"/>
        </w:rPr>
        <w:t xml:space="preserve"> </w:t>
      </w:r>
      <w:r>
        <w:rPr>
          <w:color w:val="000000"/>
        </w:rPr>
        <w:t xml:space="preserve">é destinado a investidores que pretendam: </w:t>
      </w:r>
      <w:r>
        <w:rPr>
          <w:b/>
          <w:color w:val="000000"/>
        </w:rPr>
        <w:t>[descrição do público-alvo</w:t>
      </w:r>
      <w:proofErr w:type="gramStart"/>
      <w:r>
        <w:rPr>
          <w:b/>
          <w:color w:val="000000"/>
        </w:rPr>
        <w:t>]</w:t>
      </w:r>
      <w:proofErr w:type="gramEnd"/>
      <w:r>
        <w:rPr>
          <w:rStyle w:val="EndnoteReference"/>
          <w:color w:val="000000"/>
        </w:rPr>
        <w:endnoteReference w:id="2"/>
      </w:r>
      <w:r>
        <w:rPr>
          <w:b/>
          <w:color w:val="000000"/>
        </w:rPr>
        <w:t xml:space="preserve"> </w:t>
      </w:r>
      <w:r>
        <w:rPr>
          <w:color w:val="000000"/>
        </w:rPr>
        <w:t>e</w:t>
      </w:r>
      <w:r>
        <w:rPr>
          <w:b/>
          <w:color w:val="000000"/>
        </w:rPr>
        <w:t xml:space="preserve"> [restrições de investimento]</w:t>
      </w:r>
      <w:r>
        <w:rPr>
          <w:rStyle w:val="EndnoteReference"/>
          <w:color w:val="000000"/>
        </w:rPr>
        <w:endnoteReference w:id="3"/>
      </w:r>
      <w:r>
        <w:rPr>
          <w:color w:val="000000"/>
        </w:rPr>
        <w:t>.</w:t>
      </w:r>
    </w:p>
    <w:p w:rsidR="00B2445D" w:rsidRDefault="00B2445D" w:rsidP="00B2445D">
      <w:pPr>
        <w:pStyle w:val="PargrafodaLista1"/>
        <w:tabs>
          <w:tab w:val="num" w:pos="567"/>
        </w:tabs>
        <w:spacing w:line="312" w:lineRule="auto"/>
        <w:ind w:left="0"/>
        <w:rPr>
          <w:color w:val="000000"/>
        </w:rPr>
      </w:pPr>
    </w:p>
    <w:p w:rsidR="00B2445D" w:rsidRDefault="00B2445D" w:rsidP="00B2445D">
      <w:pPr>
        <w:numPr>
          <w:ilvl w:val="0"/>
          <w:numId w:val="73"/>
        </w:numPr>
        <w:tabs>
          <w:tab w:val="num" w:pos="567"/>
        </w:tabs>
        <w:spacing w:line="312" w:lineRule="auto"/>
        <w:ind w:left="0" w:firstLine="0"/>
        <w:jc w:val="both"/>
        <w:rPr>
          <w:b/>
          <w:color w:val="000000"/>
        </w:rPr>
      </w:pPr>
      <w:r>
        <w:rPr>
          <w:b/>
          <w:color w:val="000000"/>
        </w:rPr>
        <w:t>OBJETIVOS DO fundo: [descrição resumida dos objetivos do fundo de modo que o investidor tenha um entendimento razoável da natureza e dos riscos envolvidos no investimento]</w:t>
      </w:r>
      <w:r>
        <w:rPr>
          <w:color w:val="000000"/>
        </w:rPr>
        <w:t>.</w:t>
      </w:r>
      <w:proofErr w:type="gramStart"/>
      <w:r>
        <w:rPr>
          <w:rStyle w:val="EndnoteReference"/>
          <w:color w:val="000000"/>
        </w:rPr>
        <w:endnoteReference w:id="4"/>
      </w:r>
      <w:proofErr w:type="gramEnd"/>
      <w:r>
        <w:rPr>
          <w:color w:val="000000"/>
        </w:rPr>
        <w:t xml:space="preserve"> </w:t>
      </w:r>
    </w:p>
    <w:p w:rsidR="00B2445D" w:rsidRDefault="00B2445D" w:rsidP="00B2445D">
      <w:pPr>
        <w:tabs>
          <w:tab w:val="num" w:pos="567"/>
        </w:tabs>
        <w:spacing w:line="312" w:lineRule="auto"/>
        <w:jc w:val="both"/>
        <w:rPr>
          <w:b/>
          <w:color w:val="000000"/>
        </w:rPr>
      </w:pPr>
    </w:p>
    <w:p w:rsidR="00B2445D" w:rsidRDefault="00B2445D" w:rsidP="00B2445D">
      <w:pPr>
        <w:numPr>
          <w:ilvl w:val="0"/>
          <w:numId w:val="73"/>
        </w:numPr>
        <w:tabs>
          <w:tab w:val="num" w:pos="567"/>
        </w:tabs>
        <w:spacing w:line="312" w:lineRule="auto"/>
        <w:ind w:left="0" w:firstLine="0"/>
        <w:jc w:val="both"/>
        <w:rPr>
          <w:color w:val="000000"/>
        </w:rPr>
      </w:pPr>
      <w:r>
        <w:rPr>
          <w:b/>
          <w:color w:val="000000"/>
        </w:rPr>
        <w:t>POLÍTICA DE INVESTIMENTOS</w:t>
      </w:r>
      <w:r>
        <w:rPr>
          <w:color w:val="000000"/>
        </w:rPr>
        <w:t xml:space="preserve">: </w:t>
      </w:r>
    </w:p>
    <w:p w:rsidR="00B2445D" w:rsidRDefault="00B2445D" w:rsidP="00B2445D">
      <w:pPr>
        <w:spacing w:line="312" w:lineRule="auto"/>
        <w:jc w:val="both"/>
        <w:rPr>
          <w:color w:val="000000"/>
        </w:rPr>
      </w:pPr>
    </w:p>
    <w:p w:rsidR="00B2445D" w:rsidRDefault="00B2445D" w:rsidP="00B2445D">
      <w:pPr>
        <w:numPr>
          <w:ilvl w:val="1"/>
          <w:numId w:val="73"/>
        </w:numPr>
        <w:tabs>
          <w:tab w:val="num" w:pos="567"/>
        </w:tabs>
        <w:spacing w:line="312" w:lineRule="auto"/>
        <w:ind w:left="567" w:hanging="567"/>
        <w:jc w:val="both"/>
        <w:rPr>
          <w:color w:val="000000"/>
        </w:rPr>
      </w:pPr>
      <w:r>
        <w:rPr>
          <w:b/>
          <w:color w:val="000000"/>
        </w:rPr>
        <w:t>[descrição resumida da política de investimentos]</w:t>
      </w:r>
      <w:r>
        <w:rPr>
          <w:color w:val="000000"/>
        </w:rPr>
        <w:t>.</w:t>
      </w:r>
    </w:p>
    <w:p w:rsidR="00B2445D" w:rsidRDefault="00B2445D" w:rsidP="00B2445D">
      <w:pPr>
        <w:tabs>
          <w:tab w:val="num" w:pos="567"/>
        </w:tabs>
        <w:spacing w:line="312" w:lineRule="auto"/>
        <w:ind w:left="567" w:hanging="567"/>
        <w:jc w:val="both"/>
        <w:rPr>
          <w:color w:val="000000"/>
        </w:rPr>
      </w:pPr>
    </w:p>
    <w:p w:rsidR="00B2445D" w:rsidRDefault="00B2445D" w:rsidP="00B2445D">
      <w:pPr>
        <w:numPr>
          <w:ilvl w:val="1"/>
          <w:numId w:val="73"/>
        </w:numPr>
        <w:tabs>
          <w:tab w:val="num" w:pos="567"/>
        </w:tabs>
        <w:spacing w:line="312" w:lineRule="auto"/>
        <w:ind w:left="567" w:hanging="567"/>
        <w:jc w:val="both"/>
        <w:rPr>
          <w:color w:val="000000"/>
        </w:rPr>
      </w:pPr>
      <w:r>
        <w:rPr>
          <w:color w:val="000000"/>
        </w:rPr>
        <w:t xml:space="preserve">O </w:t>
      </w:r>
      <w:r>
        <w:rPr>
          <w:b/>
          <w:color w:val="000000"/>
        </w:rPr>
        <w:t xml:space="preserve">fundo </w:t>
      </w:r>
      <w:r>
        <w:rPr>
          <w:color w:val="000000"/>
        </w:rPr>
        <w:t>pode:</w:t>
      </w:r>
    </w:p>
    <w:p w:rsidR="00B2445D" w:rsidRDefault="00B2445D" w:rsidP="00B2445D">
      <w:pPr>
        <w:pStyle w:val="PargrafodaLista1"/>
        <w:spacing w:line="312" w:lineRule="auto"/>
        <w:ind w:left="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3"/>
        <w:gridCol w:w="3773"/>
      </w:tblGrid>
      <w:tr w:rsidR="00B2445D" w:rsidRPr="00B2445D" w:rsidTr="00B2445D">
        <w:tc>
          <w:tcPr>
            <w:tcW w:w="303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sz w:val="20"/>
                <w:szCs w:val="20"/>
              </w:rPr>
            </w:pPr>
            <w:r>
              <w:rPr>
                <w:b/>
                <w:sz w:val="20"/>
                <w:szCs w:val="20"/>
              </w:rPr>
              <w:t>Aplicar em ativos no exterior até o limite de</w:t>
            </w:r>
          </w:p>
        </w:tc>
        <w:tc>
          <w:tcPr>
            <w:tcW w:w="1970"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b/>
                <w:color w:val="000000"/>
                <w:sz w:val="20"/>
                <w:szCs w:val="20"/>
              </w:rPr>
            </w:pPr>
            <w:r>
              <w:rPr>
                <w:b/>
                <w:color w:val="000000"/>
                <w:sz w:val="20"/>
                <w:szCs w:val="20"/>
              </w:rPr>
              <w:t>[% do Patrimônio líquido] ou [não]</w:t>
            </w:r>
          </w:p>
        </w:tc>
      </w:tr>
      <w:tr w:rsidR="00B2445D" w:rsidRPr="00B2445D" w:rsidTr="00B2445D">
        <w:tc>
          <w:tcPr>
            <w:tcW w:w="303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sz w:val="20"/>
                <w:szCs w:val="20"/>
              </w:rPr>
            </w:pPr>
            <w:r>
              <w:rPr>
                <w:b/>
                <w:sz w:val="20"/>
                <w:szCs w:val="20"/>
              </w:rPr>
              <w:t>Aplicar em crédito privado até o limite de</w:t>
            </w:r>
          </w:p>
        </w:tc>
        <w:tc>
          <w:tcPr>
            <w:tcW w:w="1970"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b/>
                <w:color w:val="000000"/>
                <w:sz w:val="20"/>
                <w:szCs w:val="20"/>
              </w:rPr>
            </w:pPr>
            <w:r>
              <w:rPr>
                <w:b/>
                <w:color w:val="000000"/>
                <w:sz w:val="20"/>
                <w:szCs w:val="20"/>
              </w:rPr>
              <w:t>[% do Patrimônio líquido] ou [não]</w:t>
            </w:r>
          </w:p>
        </w:tc>
      </w:tr>
      <w:tr w:rsidR="00B2445D" w:rsidTr="00B2445D">
        <w:tc>
          <w:tcPr>
            <w:tcW w:w="303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sz w:val="20"/>
                <w:szCs w:val="20"/>
              </w:rPr>
            </w:pPr>
            <w:r>
              <w:rPr>
                <w:b/>
                <w:sz w:val="20"/>
                <w:szCs w:val="20"/>
              </w:rPr>
              <w:t>Se alavancar até o limite de</w:t>
            </w:r>
          </w:p>
        </w:tc>
        <w:tc>
          <w:tcPr>
            <w:tcW w:w="1970"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b/>
                <w:color w:val="000000"/>
                <w:sz w:val="20"/>
                <w:szCs w:val="20"/>
              </w:rPr>
            </w:pPr>
            <w:r>
              <w:rPr>
                <w:b/>
                <w:color w:val="000000"/>
                <w:sz w:val="20"/>
                <w:szCs w:val="20"/>
              </w:rPr>
              <w:t xml:space="preserve">[% do Patrimônio líquido] </w:t>
            </w:r>
          </w:p>
        </w:tc>
      </w:tr>
      <w:tr w:rsidR="00B2445D" w:rsidTr="00B2445D">
        <w:tc>
          <w:tcPr>
            <w:tcW w:w="303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sz w:val="20"/>
                <w:szCs w:val="20"/>
              </w:rPr>
            </w:pPr>
            <w:r>
              <w:rPr>
                <w:b/>
                <w:sz w:val="20"/>
                <w:szCs w:val="20"/>
              </w:rPr>
              <w:t xml:space="preserve">Concentrar seus ativos em um só emissor que não seja a União </w:t>
            </w:r>
            <w:r>
              <w:rPr>
                <w:b/>
                <w:sz w:val="20"/>
                <w:szCs w:val="20"/>
              </w:rPr>
              <w:lastRenderedPageBreak/>
              <w:t>Federal até o limite de</w:t>
            </w:r>
          </w:p>
        </w:tc>
        <w:tc>
          <w:tcPr>
            <w:tcW w:w="1970"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b/>
                <w:color w:val="000000"/>
                <w:sz w:val="20"/>
                <w:szCs w:val="20"/>
              </w:rPr>
            </w:pPr>
            <w:r>
              <w:rPr>
                <w:b/>
                <w:color w:val="000000"/>
                <w:sz w:val="20"/>
                <w:szCs w:val="20"/>
              </w:rPr>
              <w:lastRenderedPageBreak/>
              <w:t xml:space="preserve">[% do Patrimônio líquido] </w:t>
            </w:r>
          </w:p>
        </w:tc>
      </w:tr>
    </w:tbl>
    <w:p w:rsidR="00B2445D" w:rsidRDefault="00B2445D" w:rsidP="00B2445D">
      <w:pPr>
        <w:spacing w:line="312" w:lineRule="auto"/>
        <w:ind w:left="1134"/>
        <w:jc w:val="both"/>
        <w:rPr>
          <w:color w:val="0D0D0D"/>
        </w:rPr>
      </w:pPr>
    </w:p>
    <w:p w:rsidR="00B2445D" w:rsidRDefault="00B2445D" w:rsidP="00B2445D">
      <w:pPr>
        <w:numPr>
          <w:ilvl w:val="1"/>
          <w:numId w:val="73"/>
        </w:numPr>
        <w:tabs>
          <w:tab w:val="num" w:pos="567"/>
        </w:tabs>
        <w:spacing w:line="312" w:lineRule="auto"/>
        <w:ind w:left="567" w:hanging="567"/>
        <w:jc w:val="both"/>
        <w:rPr>
          <w:color w:val="000000"/>
        </w:rPr>
      </w:pPr>
      <w:r>
        <w:rPr>
          <w:color w:val="0D0D0D"/>
        </w:rPr>
        <w:t>[</w:t>
      </w:r>
      <w:r>
        <w:rPr>
          <w:i/>
          <w:color w:val="0D0D0D"/>
        </w:rPr>
        <w:t>Para o fundo cujo regulamento permita realizar operações cujas consequências possam ser significativas perdas patrimoniais</w:t>
      </w:r>
      <w:r>
        <w:rPr>
          <w:color w:val="0D0D0D"/>
        </w:rPr>
        <w:t>:</w:t>
      </w:r>
      <w:r>
        <w:rPr>
          <w:i/>
          <w:color w:val="0D0D0D"/>
        </w:rPr>
        <w:t xml:space="preserve"> </w:t>
      </w:r>
      <w:r>
        <w:rPr>
          <w:color w:val="000000"/>
        </w:rPr>
        <w:t xml:space="preserve">As estratégias de investimento do </w:t>
      </w:r>
      <w:r>
        <w:rPr>
          <w:b/>
          <w:color w:val="000000"/>
        </w:rPr>
        <w:t xml:space="preserve">fundo </w:t>
      </w:r>
      <w:r>
        <w:rPr>
          <w:color w:val="000000"/>
        </w:rPr>
        <w:t>podem resultar em significativas perdas patrimoniais para seus cotistas</w:t>
      </w:r>
      <w:r>
        <w:rPr>
          <w:i/>
          <w:color w:val="000000"/>
        </w:rPr>
        <w:t>.</w:t>
      </w:r>
      <w:r>
        <w:rPr>
          <w:color w:val="000000"/>
        </w:rPr>
        <w:t>] OU [</w:t>
      </w:r>
      <w:r>
        <w:rPr>
          <w:i/>
          <w:color w:val="0D0D0D"/>
        </w:rPr>
        <w:t>Para o fundo cujo regulamento permita realizar operações que possam resultar em patrimônio líquido negativo</w:t>
      </w:r>
      <w:r>
        <w:rPr>
          <w:color w:val="000000"/>
        </w:rPr>
        <w:t xml:space="preserve">: As estratégias de investimento do </w:t>
      </w:r>
      <w:r>
        <w:rPr>
          <w:b/>
          <w:color w:val="000000"/>
        </w:rPr>
        <w:t xml:space="preserve">fundo </w:t>
      </w:r>
      <w:r>
        <w:rPr>
          <w:color w:val="000000"/>
        </w:rPr>
        <w:t>podem resultar em perdas superiores ao capital aplicado e a consequente obrigação do cotista de aportar recursos adicionais para cobrir o prejuízo do fundo</w:t>
      </w:r>
      <w:r>
        <w:rPr>
          <w:i/>
          <w:color w:val="000000"/>
        </w:rPr>
        <w:t>.</w:t>
      </w:r>
      <w:proofErr w:type="gramStart"/>
      <w:r>
        <w:rPr>
          <w:color w:val="000000"/>
        </w:rPr>
        <w:t>]</w:t>
      </w:r>
      <w:proofErr w:type="gramEnd"/>
    </w:p>
    <w:p w:rsidR="00B2445D" w:rsidRDefault="00B2445D" w:rsidP="00B2445D">
      <w:pPr>
        <w:spacing w:line="312" w:lineRule="auto"/>
        <w:jc w:val="both"/>
        <w:rPr>
          <w:color w:val="000000"/>
        </w:rPr>
      </w:pPr>
    </w:p>
    <w:p w:rsidR="00B2445D" w:rsidRDefault="00B2445D" w:rsidP="00B2445D">
      <w:pPr>
        <w:numPr>
          <w:ilvl w:val="0"/>
          <w:numId w:val="73"/>
        </w:numPr>
        <w:tabs>
          <w:tab w:val="num" w:pos="567"/>
        </w:tabs>
        <w:spacing w:line="312" w:lineRule="auto"/>
        <w:ind w:left="0" w:firstLine="0"/>
        <w:jc w:val="both"/>
        <w:rPr>
          <w:b/>
          <w:color w:val="000000"/>
        </w:rPr>
      </w:pPr>
      <w:r>
        <w:rPr>
          <w:b/>
          <w:color w:val="000000"/>
        </w:rPr>
        <w:t xml:space="preserve">CONDIÇÕES DE INVESTIMENTO </w:t>
      </w:r>
    </w:p>
    <w:p w:rsidR="00B2445D" w:rsidRDefault="00B2445D" w:rsidP="00B2445D">
      <w:pPr>
        <w:spacing w:line="312" w:lineRule="auto"/>
        <w:jc w:val="both"/>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441"/>
      </w:tblGrid>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Investimento inicial mínimo</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b/>
                <w:color w:val="000000"/>
                <w:sz w:val="20"/>
                <w:szCs w:val="20"/>
              </w:rPr>
              <w:t xml:space="preserve">R$ [●] </w:t>
            </w:r>
            <w:r>
              <w:rPr>
                <w:color w:val="000000"/>
                <w:sz w:val="20"/>
                <w:szCs w:val="20"/>
              </w:rPr>
              <w:t xml:space="preserve">OU </w:t>
            </w:r>
            <w:r>
              <w:rPr>
                <w:b/>
                <w:color w:val="000000"/>
                <w:sz w:val="20"/>
                <w:szCs w:val="20"/>
              </w:rPr>
              <w:t>[não há]</w:t>
            </w:r>
          </w:p>
        </w:tc>
      </w:tr>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Investimento adicional mínimo</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b/>
                <w:color w:val="000000"/>
                <w:sz w:val="20"/>
                <w:szCs w:val="20"/>
              </w:rPr>
              <w:t xml:space="preserve">R$ [●] </w:t>
            </w:r>
            <w:r>
              <w:rPr>
                <w:color w:val="000000"/>
                <w:sz w:val="20"/>
                <w:szCs w:val="20"/>
              </w:rPr>
              <w:t xml:space="preserve">OU </w:t>
            </w:r>
            <w:r>
              <w:rPr>
                <w:b/>
                <w:color w:val="000000"/>
                <w:sz w:val="20"/>
                <w:szCs w:val="20"/>
              </w:rPr>
              <w:t>[não há]</w:t>
            </w:r>
          </w:p>
        </w:tc>
      </w:tr>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Resgate mínimo</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b/>
                <w:color w:val="000000"/>
                <w:sz w:val="20"/>
                <w:szCs w:val="20"/>
              </w:rPr>
              <w:t xml:space="preserve">R$ [●] </w:t>
            </w:r>
            <w:r>
              <w:rPr>
                <w:color w:val="000000"/>
                <w:sz w:val="20"/>
                <w:szCs w:val="20"/>
              </w:rPr>
              <w:t xml:space="preserve">OU </w:t>
            </w:r>
            <w:r>
              <w:rPr>
                <w:b/>
                <w:color w:val="000000"/>
                <w:sz w:val="20"/>
                <w:szCs w:val="20"/>
              </w:rPr>
              <w:t>[não há]</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Horário para aplicação e resgate</w:t>
            </w:r>
          </w:p>
        </w:tc>
        <w:tc>
          <w:tcPr>
            <w:tcW w:w="3363" w:type="pct"/>
            <w:tcBorders>
              <w:top w:val="single" w:sz="4" w:space="0" w:color="000000"/>
              <w:left w:val="single" w:sz="4" w:space="0" w:color="000000"/>
              <w:bottom w:val="single" w:sz="4" w:space="0" w:color="000000"/>
              <w:right w:val="single" w:sz="4" w:space="0" w:color="000000"/>
            </w:tcBorders>
            <w:vAlign w:val="center"/>
          </w:tcPr>
          <w:p w:rsidR="00B2445D" w:rsidRDefault="00B2445D">
            <w:pPr>
              <w:spacing w:line="312" w:lineRule="auto"/>
              <w:rPr>
                <w:b/>
                <w:color w:val="000000"/>
                <w:sz w:val="20"/>
                <w:szCs w:val="20"/>
              </w:rPr>
            </w:pPr>
          </w:p>
        </w:tc>
      </w:tr>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Valor mínimo para permanência</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b/>
                <w:color w:val="000000"/>
                <w:sz w:val="20"/>
                <w:szCs w:val="20"/>
              </w:rPr>
              <w:t xml:space="preserve">R$ [●] </w:t>
            </w:r>
            <w:r>
              <w:rPr>
                <w:color w:val="000000"/>
                <w:sz w:val="20"/>
                <w:szCs w:val="20"/>
              </w:rPr>
              <w:t xml:space="preserve">OU </w:t>
            </w:r>
            <w:r>
              <w:rPr>
                <w:b/>
                <w:color w:val="000000"/>
                <w:sz w:val="20"/>
                <w:szCs w:val="20"/>
              </w:rPr>
              <w:t>[não há]</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Período de carência</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color w:val="000000"/>
                <w:sz w:val="20"/>
                <w:szCs w:val="20"/>
              </w:rPr>
              <w:t xml:space="preserve">Os recursos investidos no </w:t>
            </w:r>
            <w:r>
              <w:rPr>
                <w:b/>
                <w:color w:val="000000"/>
                <w:sz w:val="20"/>
                <w:szCs w:val="20"/>
              </w:rPr>
              <w:t xml:space="preserve">fundo </w:t>
            </w:r>
            <w:r>
              <w:rPr>
                <w:color w:val="000000"/>
                <w:sz w:val="20"/>
                <w:szCs w:val="20"/>
              </w:rPr>
              <w:t>não podem ser resgatados antes de [●] dias contados da data da aplicação OU [outras condições de carência] OU [não há].</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Conversão das cotas</w:t>
            </w:r>
          </w:p>
        </w:tc>
        <w:tc>
          <w:tcPr>
            <w:tcW w:w="3363" w:type="pct"/>
            <w:tcBorders>
              <w:top w:val="single" w:sz="4" w:space="0" w:color="000000"/>
              <w:left w:val="single" w:sz="4" w:space="0" w:color="000000"/>
              <w:bottom w:val="single" w:sz="4" w:space="0" w:color="000000"/>
              <w:right w:val="single" w:sz="4" w:space="0" w:color="000000"/>
            </w:tcBorders>
            <w:vAlign w:val="center"/>
          </w:tcPr>
          <w:p w:rsidR="00B2445D" w:rsidRDefault="00B2445D">
            <w:pPr>
              <w:spacing w:line="312" w:lineRule="auto"/>
              <w:rPr>
                <w:color w:val="000000"/>
                <w:sz w:val="20"/>
                <w:szCs w:val="20"/>
              </w:rPr>
            </w:pPr>
            <w:r>
              <w:rPr>
                <w:color w:val="000000"/>
                <w:sz w:val="20"/>
                <w:szCs w:val="20"/>
              </w:rPr>
              <w:t>Na aplicação, o número de cotas compradas será calculado de acordo com o valor das cotas [na abertura/no fechamento] do [●] dia contado da data da aplicação.</w:t>
            </w:r>
          </w:p>
          <w:p w:rsidR="00B2445D" w:rsidRDefault="00B2445D">
            <w:pPr>
              <w:spacing w:line="312" w:lineRule="auto"/>
              <w:rPr>
                <w:color w:val="000000"/>
                <w:sz w:val="20"/>
                <w:szCs w:val="20"/>
              </w:rPr>
            </w:pPr>
          </w:p>
          <w:p w:rsidR="00B2445D" w:rsidRDefault="00B2445D">
            <w:pPr>
              <w:spacing w:line="312" w:lineRule="auto"/>
              <w:rPr>
                <w:b/>
                <w:color w:val="000000"/>
                <w:sz w:val="20"/>
                <w:szCs w:val="20"/>
              </w:rPr>
            </w:pPr>
            <w:r>
              <w:rPr>
                <w:color w:val="000000"/>
                <w:sz w:val="20"/>
                <w:szCs w:val="20"/>
              </w:rPr>
              <w:t>No resgate, o número de cotas canceladas será calculado de acordo com o valor das cotas [na abertura/no fechamento] do [●] dia contado da data do pedido de resgate.</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color w:val="000000"/>
                <w:sz w:val="20"/>
                <w:szCs w:val="20"/>
              </w:rPr>
              <w:t>Pagamento dos resgates</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color w:val="000000"/>
                <w:sz w:val="20"/>
                <w:szCs w:val="20"/>
              </w:rPr>
              <w:t>O prazo para o efetivo pagamento dos resgates é de [●</w:t>
            </w:r>
            <w:proofErr w:type="gramStart"/>
            <w:r>
              <w:rPr>
                <w:color w:val="000000"/>
                <w:sz w:val="20"/>
                <w:szCs w:val="20"/>
              </w:rPr>
              <w:t>]</w:t>
            </w:r>
            <w:proofErr w:type="gramEnd"/>
            <w:r>
              <w:rPr>
                <w:rStyle w:val="EndnoteReference"/>
                <w:color w:val="000000"/>
                <w:sz w:val="20"/>
                <w:szCs w:val="20"/>
              </w:rPr>
              <w:endnoteReference w:id="5"/>
            </w:r>
            <w:r>
              <w:rPr>
                <w:color w:val="000000"/>
                <w:sz w:val="20"/>
                <w:szCs w:val="20"/>
              </w:rPr>
              <w:t xml:space="preserve"> dias úteis contados da data do pedido de resgate.</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bCs/>
                <w:color w:val="000000"/>
                <w:sz w:val="20"/>
                <w:szCs w:val="20"/>
              </w:rPr>
              <w:t>Taxa de administração</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color w:val="000000"/>
                <w:sz w:val="20"/>
                <w:szCs w:val="20"/>
              </w:rPr>
              <w:t>[[●</w:t>
            </w:r>
            <w:proofErr w:type="gramStart"/>
            <w:r>
              <w:rPr>
                <w:color w:val="000000"/>
                <w:sz w:val="20"/>
                <w:szCs w:val="20"/>
              </w:rPr>
              <w:t>]</w:t>
            </w:r>
            <w:proofErr w:type="gramEnd"/>
            <w:r>
              <w:rPr>
                <w:color w:val="000000"/>
                <w:sz w:val="20"/>
                <w:szCs w:val="20"/>
              </w:rPr>
              <w:t>% do patrimônio líquido ao ano] OU [A taxa de administração pode variar de [●]% a [●]% do patrimônio líquido ao ano].</w:t>
            </w:r>
          </w:p>
        </w:tc>
      </w:tr>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bCs/>
                <w:color w:val="000000"/>
                <w:sz w:val="20"/>
                <w:szCs w:val="20"/>
              </w:rPr>
              <w:t>Taxa de entrada</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bCs/>
                <w:color w:val="000000"/>
                <w:sz w:val="20"/>
                <w:szCs w:val="20"/>
              </w:rPr>
              <w:t>[</w:t>
            </w:r>
            <w:r>
              <w:rPr>
                <w:color w:val="000000"/>
                <w:sz w:val="20"/>
                <w:szCs w:val="20"/>
              </w:rPr>
              <w:t xml:space="preserve">Para entrar no </w:t>
            </w:r>
            <w:r>
              <w:rPr>
                <w:b/>
                <w:color w:val="000000"/>
                <w:sz w:val="20"/>
                <w:szCs w:val="20"/>
              </w:rPr>
              <w:t>fundo</w:t>
            </w:r>
            <w:r>
              <w:rPr>
                <w:color w:val="000000"/>
                <w:sz w:val="20"/>
                <w:szCs w:val="20"/>
              </w:rPr>
              <w:t>, o investidor paga uma taxa de [●</w:t>
            </w:r>
            <w:proofErr w:type="gramStart"/>
            <w:r>
              <w:rPr>
                <w:color w:val="000000"/>
                <w:sz w:val="20"/>
                <w:szCs w:val="20"/>
              </w:rPr>
              <w:t>]</w:t>
            </w:r>
            <w:proofErr w:type="gramEnd"/>
            <w:r>
              <w:rPr>
                <w:color w:val="000000"/>
                <w:sz w:val="20"/>
                <w:szCs w:val="20"/>
              </w:rPr>
              <w:t>% da aplicação inicial, que é deduzida diretamente do valor a ser aplicado.] OU [outras condições de entrada] OU [não há].</w:t>
            </w:r>
          </w:p>
        </w:tc>
      </w:tr>
      <w:tr w:rsid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color w:val="000000"/>
                <w:sz w:val="20"/>
                <w:szCs w:val="20"/>
              </w:rPr>
            </w:pPr>
            <w:r>
              <w:rPr>
                <w:b/>
                <w:bCs/>
                <w:color w:val="000000"/>
                <w:sz w:val="20"/>
                <w:szCs w:val="20"/>
              </w:rPr>
              <w:t>Taxa de saída</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b/>
                <w:color w:val="000000"/>
                <w:sz w:val="20"/>
                <w:szCs w:val="20"/>
              </w:rPr>
            </w:pPr>
            <w:r>
              <w:rPr>
                <w:color w:val="000000"/>
                <w:sz w:val="20"/>
                <w:szCs w:val="20"/>
              </w:rPr>
              <w:t xml:space="preserve">[Para resgatar suas cotas do </w:t>
            </w:r>
            <w:r>
              <w:rPr>
                <w:b/>
                <w:color w:val="000000"/>
                <w:sz w:val="20"/>
                <w:szCs w:val="20"/>
              </w:rPr>
              <w:t xml:space="preserve">fundo </w:t>
            </w:r>
            <w:r>
              <w:rPr>
                <w:color w:val="000000"/>
                <w:sz w:val="20"/>
                <w:szCs w:val="20"/>
              </w:rPr>
              <w:t>[, antes de decorridos [●] dias da data de aplicação], o investidor paga uma taxa de [●</w:t>
            </w:r>
            <w:proofErr w:type="gramStart"/>
            <w:r>
              <w:rPr>
                <w:color w:val="000000"/>
                <w:sz w:val="20"/>
                <w:szCs w:val="20"/>
              </w:rPr>
              <w:t>]</w:t>
            </w:r>
            <w:proofErr w:type="gramEnd"/>
            <w:r>
              <w:rPr>
                <w:color w:val="000000"/>
                <w:sz w:val="20"/>
                <w:szCs w:val="20"/>
              </w:rPr>
              <w:t xml:space="preserve">% do valor do resgate, que é </w:t>
            </w:r>
            <w:r>
              <w:rPr>
                <w:color w:val="000000"/>
                <w:sz w:val="20"/>
                <w:szCs w:val="20"/>
              </w:rPr>
              <w:lastRenderedPageBreak/>
              <w:t>deduzida diretamente do valor a ser recebido.] OU [outras condições de saída] OU [não há].</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bCs/>
                <w:color w:val="000000"/>
                <w:sz w:val="20"/>
                <w:szCs w:val="20"/>
              </w:rPr>
            </w:pPr>
            <w:r>
              <w:rPr>
                <w:b/>
                <w:bCs/>
                <w:color w:val="000000"/>
                <w:sz w:val="20"/>
                <w:szCs w:val="20"/>
              </w:rPr>
              <w:lastRenderedPageBreak/>
              <w:t xml:space="preserve">[Taxa de desempenho] OU [Taxa de </w:t>
            </w:r>
            <w:proofErr w:type="gramStart"/>
            <w:r>
              <w:rPr>
                <w:b/>
                <w:bCs/>
                <w:color w:val="000000"/>
                <w:sz w:val="20"/>
                <w:szCs w:val="20"/>
              </w:rPr>
              <w:t>performance</w:t>
            </w:r>
            <w:proofErr w:type="gramEnd"/>
            <w:r>
              <w:rPr>
                <w:b/>
                <w:bCs/>
                <w:color w:val="000000"/>
                <w:sz w:val="20"/>
                <w:szCs w:val="20"/>
              </w:rPr>
              <w:t>]</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color w:val="000000"/>
                <w:sz w:val="20"/>
                <w:szCs w:val="20"/>
              </w:rPr>
            </w:pPr>
            <w:r>
              <w:rPr>
                <w:color w:val="000000"/>
                <w:sz w:val="20"/>
                <w:szCs w:val="20"/>
              </w:rPr>
              <w:t>[Descrição sucinta da taxa de desempenho] OU [não há].</w:t>
            </w:r>
          </w:p>
        </w:tc>
      </w:tr>
      <w:tr w:rsidR="00B2445D" w:rsidRPr="00B2445D" w:rsidTr="00B2445D">
        <w:tc>
          <w:tcPr>
            <w:tcW w:w="1637"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spacing w:line="312" w:lineRule="auto"/>
              <w:rPr>
                <w:b/>
                <w:bCs/>
                <w:color w:val="000000"/>
                <w:sz w:val="20"/>
                <w:szCs w:val="20"/>
              </w:rPr>
            </w:pPr>
            <w:r>
              <w:rPr>
                <w:b/>
                <w:bCs/>
                <w:color w:val="000000"/>
                <w:sz w:val="20"/>
                <w:szCs w:val="20"/>
              </w:rPr>
              <w:t>Taxa total de despesas</w:t>
            </w:r>
          </w:p>
        </w:tc>
        <w:tc>
          <w:tcPr>
            <w:tcW w:w="3363"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spacing w:line="312" w:lineRule="auto"/>
              <w:rPr>
                <w:color w:val="000000"/>
                <w:sz w:val="20"/>
                <w:szCs w:val="20"/>
              </w:rPr>
            </w:pPr>
            <w:r>
              <w:rPr>
                <w:color w:val="000000"/>
                <w:sz w:val="20"/>
                <w:szCs w:val="20"/>
              </w:rPr>
              <w:t>As despesas pagas pelo fundo representaram [●</w:t>
            </w:r>
            <w:proofErr w:type="gramStart"/>
            <w:r>
              <w:rPr>
                <w:color w:val="000000"/>
                <w:sz w:val="20"/>
                <w:szCs w:val="20"/>
              </w:rPr>
              <w:t>]</w:t>
            </w:r>
            <w:proofErr w:type="gramEnd"/>
            <w:r>
              <w:rPr>
                <w:color w:val="000000"/>
                <w:sz w:val="20"/>
                <w:szCs w:val="20"/>
              </w:rPr>
              <w:t>% do seu patrimônio líquido diário médio no período que vai de [●] a [●]. A taxa de despesas pode variar de período para período e reduz a rentabilidade do fundo.  O quadro com a descrição das despesas do fundo</w:t>
            </w:r>
            <w:r>
              <w:rPr>
                <w:b/>
                <w:color w:val="000000"/>
                <w:sz w:val="20"/>
                <w:szCs w:val="20"/>
              </w:rPr>
              <w:t xml:space="preserve"> </w:t>
            </w:r>
            <w:r>
              <w:rPr>
                <w:color w:val="000000"/>
                <w:sz w:val="20"/>
                <w:szCs w:val="20"/>
              </w:rPr>
              <w:t xml:space="preserve">pode ser encontrado em </w:t>
            </w:r>
            <w:r>
              <w:rPr>
                <w:b/>
                <w:color w:val="000000"/>
                <w:sz w:val="20"/>
                <w:szCs w:val="20"/>
              </w:rPr>
              <w:t>[endereço eletrônico do administrador].</w:t>
            </w:r>
          </w:p>
        </w:tc>
      </w:tr>
    </w:tbl>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pStyle w:val="NormalWeb"/>
        <w:numPr>
          <w:ilvl w:val="0"/>
          <w:numId w:val="73"/>
        </w:numPr>
        <w:tabs>
          <w:tab w:val="num" w:pos="567"/>
        </w:tabs>
        <w:spacing w:before="0" w:beforeAutospacing="0" w:after="0" w:afterAutospacing="0" w:line="312" w:lineRule="auto"/>
        <w:ind w:left="0" w:firstLine="0"/>
        <w:jc w:val="both"/>
        <w:rPr>
          <w:rFonts w:ascii="Times New Roman" w:hAnsi="Times New Roman" w:cs="Times New Roman"/>
        </w:rPr>
      </w:pPr>
      <w:r>
        <w:rPr>
          <w:rFonts w:ascii="Times New Roman" w:hAnsi="Times New Roman" w:cs="Times New Roman"/>
          <w:b/>
        </w:rPr>
        <w:t>COMPOSIÇÃO DA CARTEIRA:</w:t>
      </w:r>
      <w:r>
        <w:rPr>
          <w:rStyle w:val="EndnoteReference"/>
          <w:rFonts w:ascii="Times New Roman" w:hAnsi="Times New Roman" w:cs="Times New Roman"/>
        </w:rPr>
        <w:endnoteReference w:id="6"/>
      </w:r>
      <w:r>
        <w:rPr>
          <w:rFonts w:ascii="Times New Roman" w:hAnsi="Times New Roman" w:cs="Times New Roman"/>
          <w:b/>
        </w:rPr>
        <w:t xml:space="preserve"> </w:t>
      </w:r>
      <w:r>
        <w:rPr>
          <w:rFonts w:ascii="Times New Roman" w:hAnsi="Times New Roman" w:cs="Times New Roman"/>
        </w:rPr>
        <w:t>o patrimônio líquido do fundo</w:t>
      </w:r>
      <w:r>
        <w:rPr>
          <w:rFonts w:ascii="Times New Roman" w:hAnsi="Times New Roman" w:cs="Times New Roman"/>
          <w:b/>
        </w:rPr>
        <w:t xml:space="preserve"> </w:t>
      </w:r>
      <w:r>
        <w:rPr>
          <w:rFonts w:ascii="Times New Roman" w:hAnsi="Times New Roman" w:cs="Times New Roman"/>
        </w:rPr>
        <w:t>é</w:t>
      </w:r>
      <w:r>
        <w:rPr>
          <w:rFonts w:ascii="Times New Roman" w:hAnsi="Times New Roman" w:cs="Times New Roman"/>
          <w:b/>
        </w:rPr>
        <w:t xml:space="preserve"> </w:t>
      </w:r>
      <w:r>
        <w:rPr>
          <w:rFonts w:ascii="Times New Roman" w:hAnsi="Times New Roman" w:cs="Times New Roman"/>
        </w:rPr>
        <w:t xml:space="preserve">de </w:t>
      </w:r>
      <w:r>
        <w:rPr>
          <w:rFonts w:ascii="Times New Roman" w:hAnsi="Times New Roman" w:cs="Times New Roman"/>
          <w:b/>
        </w:rPr>
        <w:t xml:space="preserve">[●] </w:t>
      </w:r>
      <w:r>
        <w:rPr>
          <w:rFonts w:ascii="Times New Roman" w:hAnsi="Times New Roman" w:cs="Times New Roman"/>
        </w:rPr>
        <w:t xml:space="preserve">e as </w:t>
      </w:r>
      <w:proofErr w:type="gramStart"/>
      <w:r>
        <w:rPr>
          <w:rFonts w:ascii="Times New Roman" w:hAnsi="Times New Roman" w:cs="Times New Roman"/>
        </w:rPr>
        <w:t>5</w:t>
      </w:r>
      <w:proofErr w:type="gramEnd"/>
      <w:r>
        <w:rPr>
          <w:rFonts w:ascii="Times New Roman" w:hAnsi="Times New Roman" w:cs="Times New Roman"/>
        </w:rPr>
        <w:t xml:space="preserve"> espécies de ativos em que ele</w:t>
      </w:r>
      <w:r>
        <w:rPr>
          <w:rFonts w:ascii="Times New Roman" w:hAnsi="Times New Roman" w:cs="Times New Roman"/>
          <w:b/>
        </w:rPr>
        <w:t xml:space="preserve"> </w:t>
      </w:r>
      <w:r>
        <w:rPr>
          <w:rFonts w:ascii="Times New Roman" w:hAnsi="Times New Roman" w:cs="Times New Roman"/>
        </w:rPr>
        <w:t>concentra seus investimentos são</w:t>
      </w:r>
      <w:r>
        <w:rPr>
          <w:rStyle w:val="EndnoteReference"/>
          <w:rFonts w:ascii="Times New Roman" w:hAnsi="Times New Roman" w:cs="Times New Roman"/>
        </w:rPr>
        <w:endnoteReference w:id="7"/>
      </w:r>
      <w:r>
        <w:rPr>
          <w:rFonts w:ascii="Times New Roman" w:hAnsi="Times New Roman" w:cs="Times New Roman"/>
        </w:rPr>
        <w:t xml:space="preserve">: </w:t>
      </w:r>
      <w:r>
        <w:rPr>
          <w:rFonts w:ascii="Times New Roman" w:hAnsi="Times New Roman" w:cs="Times New Roman"/>
          <w:b/>
        </w:rPr>
        <w:t>[●]</w:t>
      </w:r>
      <w:r>
        <w:rPr>
          <w:rStyle w:val="EndnoteReference"/>
          <w:rFonts w:ascii="Times New Roman" w:hAnsi="Times New Roman" w:cs="Times New Roman"/>
        </w:rPr>
        <w:endnoteReference w:id="8"/>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w:t>
      </w:r>
    </w:p>
    <w:p w:rsidR="00B2445D" w:rsidRDefault="00B2445D" w:rsidP="00B2445D">
      <w:pPr>
        <w:pStyle w:val="NormalWeb"/>
        <w:spacing w:before="0" w:beforeAutospacing="0" w:after="0" w:afterAutospacing="0" w:line="312" w:lineRule="auto"/>
        <w:jc w:val="both"/>
        <w:rPr>
          <w:rFonts w:ascii="Times New Roman" w:hAnsi="Times New Roman" w:cs="Times New Roman"/>
        </w:rPr>
      </w:pPr>
    </w:p>
    <w:p w:rsidR="00B2445D" w:rsidRDefault="00B2445D" w:rsidP="00B2445D">
      <w:pPr>
        <w:pStyle w:val="NormalWeb"/>
        <w:spacing w:before="0" w:beforeAutospacing="0" w:after="0" w:afterAutospacing="0" w:line="312" w:lineRule="auto"/>
        <w:jc w:val="both"/>
        <w:rPr>
          <w:rFonts w:ascii="Times New Roman" w:hAnsi="Times New Roman" w:cs="Times New Roman"/>
        </w:rPr>
      </w:pPr>
    </w:p>
    <w:p w:rsidR="00B2445D" w:rsidRDefault="00B2445D" w:rsidP="00B2445D">
      <w:pPr>
        <w:pStyle w:val="NormalWeb"/>
        <w:spacing w:before="0" w:beforeAutospacing="0" w:after="0" w:afterAutospacing="0" w:line="312"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5567"/>
      </w:tblGrid>
      <w:tr w:rsidR="00B2445D" w:rsidTr="00B2445D">
        <w:tc>
          <w:tcPr>
            <w:tcW w:w="2093"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color w:val="000000"/>
                <w:sz w:val="20"/>
                <w:szCs w:val="20"/>
              </w:rPr>
            </w:pPr>
            <w:r>
              <w:rPr>
                <w:b/>
                <w:color w:val="000000"/>
                <w:sz w:val="20"/>
                <w:szCs w:val="20"/>
              </w:rPr>
              <w:t>[espécie de ativo]</w:t>
            </w: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color w:val="000000"/>
                <w:sz w:val="20"/>
                <w:szCs w:val="20"/>
              </w:rPr>
            </w:pPr>
            <w:r>
              <w:rPr>
                <w:color w:val="000000"/>
                <w:sz w:val="20"/>
                <w:szCs w:val="20"/>
              </w:rPr>
              <w:t xml:space="preserve">[% do Patrimônio líquido] </w:t>
            </w:r>
          </w:p>
        </w:tc>
      </w:tr>
      <w:tr w:rsidR="00B2445D" w:rsidTr="00B2445D">
        <w:tc>
          <w:tcPr>
            <w:tcW w:w="2093"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color w:val="000000"/>
                <w:sz w:val="20"/>
                <w:szCs w:val="20"/>
              </w:rPr>
            </w:pPr>
            <w:r>
              <w:rPr>
                <w:b/>
                <w:color w:val="000000"/>
                <w:sz w:val="20"/>
                <w:szCs w:val="20"/>
              </w:rPr>
              <w:t>[espécie de ativo]</w:t>
            </w: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color w:val="000000"/>
                <w:sz w:val="20"/>
                <w:szCs w:val="20"/>
              </w:rPr>
            </w:pPr>
            <w:r>
              <w:rPr>
                <w:color w:val="000000"/>
                <w:sz w:val="20"/>
                <w:szCs w:val="20"/>
              </w:rPr>
              <w:t xml:space="preserve">[% do Patrimônio líquido] </w:t>
            </w:r>
          </w:p>
        </w:tc>
      </w:tr>
      <w:tr w:rsidR="00B2445D" w:rsidTr="00B2445D">
        <w:tc>
          <w:tcPr>
            <w:tcW w:w="2093"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color w:val="000000"/>
                <w:sz w:val="20"/>
                <w:szCs w:val="20"/>
              </w:rPr>
            </w:pPr>
            <w:r>
              <w:rPr>
                <w:b/>
                <w:color w:val="000000"/>
                <w:sz w:val="20"/>
                <w:szCs w:val="20"/>
              </w:rPr>
              <w:t>[espécie de ativo]</w:t>
            </w: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color w:val="000000"/>
                <w:sz w:val="20"/>
                <w:szCs w:val="20"/>
              </w:rPr>
            </w:pPr>
            <w:r>
              <w:rPr>
                <w:color w:val="000000"/>
                <w:sz w:val="20"/>
                <w:szCs w:val="20"/>
              </w:rPr>
              <w:t xml:space="preserve">[% do Patrimônio líquido] </w:t>
            </w:r>
          </w:p>
        </w:tc>
      </w:tr>
      <w:tr w:rsidR="00B2445D" w:rsidTr="00B2445D">
        <w:tc>
          <w:tcPr>
            <w:tcW w:w="2093"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color w:val="000000"/>
                <w:sz w:val="20"/>
                <w:szCs w:val="20"/>
              </w:rPr>
            </w:pPr>
            <w:r>
              <w:rPr>
                <w:b/>
                <w:color w:val="000000"/>
                <w:sz w:val="20"/>
                <w:szCs w:val="20"/>
              </w:rPr>
              <w:t>[espécie de ativo]</w:t>
            </w: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color w:val="000000"/>
                <w:sz w:val="20"/>
                <w:szCs w:val="20"/>
              </w:rPr>
            </w:pPr>
            <w:r>
              <w:rPr>
                <w:color w:val="000000"/>
                <w:sz w:val="20"/>
                <w:szCs w:val="20"/>
              </w:rPr>
              <w:t xml:space="preserve">[% do Patrimônio líquido] </w:t>
            </w:r>
          </w:p>
        </w:tc>
      </w:tr>
      <w:tr w:rsidR="00B2445D" w:rsidTr="00B2445D">
        <w:tc>
          <w:tcPr>
            <w:tcW w:w="2093"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1134"/>
              </w:tabs>
              <w:spacing w:line="312" w:lineRule="auto"/>
              <w:jc w:val="both"/>
              <w:rPr>
                <w:b/>
                <w:color w:val="000000"/>
                <w:sz w:val="20"/>
                <w:szCs w:val="20"/>
              </w:rPr>
            </w:pPr>
            <w:r>
              <w:rPr>
                <w:b/>
                <w:color w:val="000000"/>
                <w:sz w:val="20"/>
                <w:szCs w:val="20"/>
              </w:rPr>
              <w:t>[espécie de ativo]</w:t>
            </w: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B2445D" w:rsidRDefault="00B2445D">
            <w:pPr>
              <w:tabs>
                <w:tab w:val="num" w:pos="1134"/>
              </w:tabs>
              <w:spacing w:line="312" w:lineRule="auto"/>
              <w:jc w:val="center"/>
              <w:rPr>
                <w:color w:val="000000"/>
                <w:sz w:val="20"/>
                <w:szCs w:val="20"/>
              </w:rPr>
            </w:pPr>
            <w:r>
              <w:rPr>
                <w:color w:val="000000"/>
                <w:sz w:val="20"/>
                <w:szCs w:val="20"/>
              </w:rPr>
              <w:t xml:space="preserve">[% do Patrimônio líquido] </w:t>
            </w:r>
          </w:p>
        </w:tc>
      </w:tr>
    </w:tbl>
    <w:p w:rsidR="00B2445D" w:rsidRDefault="00B2445D" w:rsidP="00B2445D">
      <w:pPr>
        <w:spacing w:line="312" w:lineRule="auto"/>
        <w:jc w:val="both"/>
        <w:rPr>
          <w:b/>
          <w:color w:val="000000"/>
        </w:rPr>
      </w:pPr>
    </w:p>
    <w:p w:rsidR="00B2445D" w:rsidRDefault="00B2445D" w:rsidP="00B2445D">
      <w:pPr>
        <w:numPr>
          <w:ilvl w:val="0"/>
          <w:numId w:val="73"/>
        </w:numPr>
        <w:tabs>
          <w:tab w:val="num" w:pos="567"/>
        </w:tabs>
        <w:spacing w:line="312" w:lineRule="auto"/>
        <w:ind w:left="0" w:firstLine="0"/>
        <w:jc w:val="both"/>
        <w:rPr>
          <w:color w:val="000000"/>
        </w:rPr>
      </w:pPr>
      <w:r>
        <w:rPr>
          <w:b/>
          <w:color w:val="000000"/>
        </w:rPr>
        <w:t>RISCO:</w:t>
      </w:r>
      <w:r>
        <w:rPr>
          <w:color w:val="000000"/>
        </w:rPr>
        <w:t xml:space="preserve"> o </w:t>
      </w:r>
      <w:r>
        <w:rPr>
          <w:b/>
          <w:color w:val="000000"/>
        </w:rPr>
        <w:t>[nome do administrador]</w:t>
      </w:r>
      <w:r>
        <w:rPr>
          <w:color w:val="000000"/>
        </w:rPr>
        <w:t xml:space="preserve"> classifica os fundos que administra numa escala de 1 a 5 de acordo com o risco envolvido na estratégia de investimento de cada um deles.  Nessa escala, a classificação do fundo</w:t>
      </w:r>
      <w:r>
        <w:rPr>
          <w:b/>
          <w:color w:val="000000"/>
        </w:rPr>
        <w:t xml:space="preserve"> </w:t>
      </w:r>
      <w:r>
        <w:rPr>
          <w:color w:val="000000"/>
        </w:rPr>
        <w:t xml:space="preserve">é: </w:t>
      </w:r>
    </w:p>
    <w:p w:rsidR="00B2445D" w:rsidRDefault="00B2445D" w:rsidP="00B2445D">
      <w:pPr>
        <w:pStyle w:val="PargrafodaLista1"/>
        <w:tabs>
          <w:tab w:val="num" w:pos="1134"/>
        </w:tabs>
        <w:spacing w:line="312" w:lineRule="auto"/>
        <w:ind w:left="0"/>
        <w:rPr>
          <w:color w:val="000000"/>
        </w:rPr>
      </w:pPr>
    </w:p>
    <w:p w:rsidR="00B2445D" w:rsidRDefault="00B2445D" w:rsidP="00B2445D">
      <w:pPr>
        <w:pStyle w:val="PargrafodaLista1"/>
        <w:tabs>
          <w:tab w:val="num" w:pos="1134"/>
        </w:tabs>
        <w:spacing w:line="312" w:lineRule="auto"/>
        <w:ind w:left="0"/>
        <w:rPr>
          <w:color w:val="000000"/>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734695</wp:posOffset>
                </wp:positionH>
                <wp:positionV relativeFrom="paragraph">
                  <wp:posOffset>152400</wp:posOffset>
                </wp:positionV>
                <wp:extent cx="5305425" cy="280670"/>
                <wp:effectExtent l="10795" t="9525"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0670"/>
                        </a:xfrm>
                        <a:prstGeom prst="rect">
                          <a:avLst/>
                        </a:prstGeom>
                        <a:solidFill>
                          <a:srgbClr val="FFFFFF"/>
                        </a:solidFill>
                        <a:ln w="9525">
                          <a:solidFill>
                            <a:srgbClr val="000000"/>
                          </a:solidFill>
                          <a:miter lim="800000"/>
                          <a:headEnd/>
                          <a:tailEnd/>
                        </a:ln>
                      </wps:spPr>
                      <wps:txbx>
                        <w:txbxContent>
                          <w:p w:rsidR="00B2445D" w:rsidRDefault="00B2445D" w:rsidP="00B2445D">
                            <w:pPr>
                              <w:rPr>
                                <w:rFonts w:ascii="Arial" w:hAnsi="Arial" w:cs="Arial"/>
                                <w:sz w:val="16"/>
                                <w:szCs w:val="16"/>
                              </w:rPr>
                            </w:pPr>
                            <w:r>
                              <w:rPr>
                                <w:sz w:val="20"/>
                                <w:szCs w:val="20"/>
                              </w:rPr>
                              <w:t>Menor risco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Maior risco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5pt;margin-top:12pt;width:417.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">
                <v:textbox>
                  <w:txbxContent>
                    <w:p w:rsidR="00B2445D" w:rsidRDefault="00B2445D" w:rsidP="00B2445D">
                      <w:pPr>
                        <w:rPr>
                          <w:rFonts w:ascii="Arial" w:hAnsi="Arial" w:cs="Arial"/>
                          <w:sz w:val="16"/>
                          <w:szCs w:val="16"/>
                        </w:rPr>
                      </w:pPr>
                      <w:r>
                        <w:rPr>
                          <w:sz w:val="20"/>
                          <w:szCs w:val="20"/>
                        </w:rPr>
                        <w:t>Menor risco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Maior risco</w:t>
                      </w:r>
                    </w:p>
                  </w:txbxContent>
                </v:textbox>
              </v:shape>
            </w:pict>
          </mc:Fallback>
        </mc:AlternateContent>
      </w:r>
    </w:p>
    <w:p w:rsidR="00B2445D" w:rsidRDefault="00B2445D" w:rsidP="00B2445D">
      <w:pPr>
        <w:pStyle w:val="PargrafodaLista1"/>
        <w:tabs>
          <w:tab w:val="num" w:pos="1134"/>
        </w:tabs>
        <w:spacing w:line="312" w:lineRule="auto"/>
        <w:ind w:left="0"/>
        <w:rPr>
          <w:color w:val="000000"/>
        </w:rPr>
      </w:pPr>
    </w:p>
    <w:p w:rsidR="00B2445D" w:rsidRDefault="00B2445D" w:rsidP="00B2445D">
      <w:pPr>
        <w:tabs>
          <w:tab w:val="num" w:pos="1134"/>
        </w:tabs>
        <w:spacing w:line="312" w:lineRule="auto"/>
        <w:jc w:val="both"/>
        <w:rPr>
          <w:color w:val="000000"/>
        </w:rPr>
      </w:pPr>
    </w:p>
    <w:p w:rsidR="00B2445D" w:rsidRDefault="00B2445D" w:rsidP="00B2445D">
      <w:pPr>
        <w:tabs>
          <w:tab w:val="num" w:pos="567"/>
          <w:tab w:val="num" w:pos="1134"/>
        </w:tabs>
        <w:spacing w:line="312" w:lineRule="auto"/>
        <w:jc w:val="center"/>
        <w:rPr>
          <w:color w:val="000000"/>
        </w:rPr>
      </w:pPr>
      <w:r>
        <w:rPr>
          <w:color w:val="000000"/>
          <w:bdr w:val="single" w:sz="4" w:space="0" w:color="auto" w:frame="1"/>
        </w:rPr>
        <w:t>1</w:t>
      </w:r>
      <w:r>
        <w:rPr>
          <w:color w:val="000000"/>
          <w:bdr w:val="single" w:sz="4" w:space="0" w:color="auto" w:frame="1"/>
        </w:rPr>
        <w:tab/>
      </w:r>
      <w:r>
        <w:rPr>
          <w:color w:val="000000"/>
          <w:bdr w:val="single" w:sz="4" w:space="0" w:color="auto" w:frame="1"/>
        </w:rPr>
        <w:tab/>
      </w:r>
      <w:r>
        <w:rPr>
          <w:color w:val="000000"/>
          <w:bdr w:val="single" w:sz="4" w:space="0" w:color="auto" w:frame="1"/>
        </w:rPr>
        <w:tab/>
        <w:t>2</w:t>
      </w:r>
      <w:r>
        <w:rPr>
          <w:color w:val="000000"/>
          <w:bdr w:val="single" w:sz="4" w:space="0" w:color="auto" w:frame="1"/>
        </w:rPr>
        <w:tab/>
      </w:r>
      <w:r>
        <w:rPr>
          <w:color w:val="000000"/>
          <w:bdr w:val="single" w:sz="4" w:space="0" w:color="auto" w:frame="1"/>
        </w:rPr>
        <w:tab/>
        <w:t>3</w:t>
      </w:r>
      <w:r>
        <w:rPr>
          <w:color w:val="000000"/>
          <w:bdr w:val="single" w:sz="4" w:space="0" w:color="auto" w:frame="1"/>
        </w:rPr>
        <w:tab/>
      </w:r>
      <w:r>
        <w:rPr>
          <w:color w:val="000000"/>
          <w:bdr w:val="single" w:sz="4" w:space="0" w:color="auto" w:frame="1"/>
        </w:rPr>
        <w:tab/>
        <w:t>4</w:t>
      </w:r>
      <w:r>
        <w:rPr>
          <w:color w:val="000000"/>
          <w:bdr w:val="single" w:sz="4" w:space="0" w:color="auto" w:frame="1"/>
        </w:rPr>
        <w:tab/>
      </w:r>
      <w:r>
        <w:rPr>
          <w:color w:val="000000"/>
          <w:bdr w:val="single" w:sz="4" w:space="0" w:color="auto" w:frame="1"/>
        </w:rPr>
        <w:tab/>
        <w:t>5</w:t>
      </w:r>
    </w:p>
    <w:p w:rsidR="00B2445D" w:rsidRDefault="00B2445D" w:rsidP="00B2445D">
      <w:pPr>
        <w:tabs>
          <w:tab w:val="num" w:pos="567"/>
          <w:tab w:val="num" w:pos="1134"/>
        </w:tabs>
        <w:spacing w:line="312" w:lineRule="auto"/>
        <w:jc w:val="center"/>
        <w:rPr>
          <w:color w:val="000000"/>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3415665</wp:posOffset>
                </wp:positionH>
                <wp:positionV relativeFrom="paragraph">
                  <wp:posOffset>10795</wp:posOffset>
                </wp:positionV>
                <wp:extent cx="90805" cy="171450"/>
                <wp:effectExtent l="24765" t="20320" r="17780" b="8255"/>
                <wp:wrapNone/>
                <wp:docPr id="1" name="Up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up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68.95pt;margin-top:.85pt;width:7.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"/>
            </w:pict>
          </mc:Fallback>
        </mc:AlternateContent>
      </w:r>
    </w:p>
    <w:p w:rsidR="00B2445D" w:rsidRDefault="00B2445D" w:rsidP="00B2445D">
      <w:pPr>
        <w:tabs>
          <w:tab w:val="num" w:pos="567"/>
        </w:tabs>
        <w:spacing w:line="312" w:lineRule="auto"/>
        <w:jc w:val="both"/>
        <w:rPr>
          <w:color w:val="000000"/>
        </w:rPr>
      </w:pPr>
    </w:p>
    <w:p w:rsidR="00B2445D" w:rsidRDefault="00B2445D" w:rsidP="00B2445D">
      <w:pPr>
        <w:numPr>
          <w:ilvl w:val="0"/>
          <w:numId w:val="73"/>
        </w:numPr>
        <w:tabs>
          <w:tab w:val="num" w:pos="567"/>
        </w:tabs>
        <w:spacing w:line="312" w:lineRule="auto"/>
        <w:ind w:left="0" w:firstLine="0"/>
        <w:jc w:val="both"/>
        <w:rPr>
          <w:b/>
          <w:color w:val="000000"/>
        </w:rPr>
      </w:pPr>
      <w:r>
        <w:rPr>
          <w:b/>
          <w:color w:val="000000"/>
        </w:rPr>
        <w:t xml:space="preserve"> [HISTÓRICO DE RENTABILIDADE</w:t>
      </w:r>
      <w:r>
        <w:rPr>
          <w:rStyle w:val="EndnoteReference"/>
          <w:color w:val="000000"/>
        </w:rPr>
        <w:endnoteReference w:id="9"/>
      </w:r>
      <w:r>
        <w:rPr>
          <w:i/>
          <w:color w:val="000000"/>
        </w:rPr>
        <w:t xml:space="preserve"> </w:t>
      </w:r>
      <w:r>
        <w:rPr>
          <w:color w:val="000000"/>
        </w:rPr>
        <w:t>(</w:t>
      </w:r>
      <w:r>
        <w:rPr>
          <w:i/>
          <w:color w:val="000000"/>
        </w:rPr>
        <w:t>para todos os fundos, exceto os estruturados</w:t>
      </w:r>
      <w:r>
        <w:rPr>
          <w:rStyle w:val="EndnoteReference"/>
          <w:color w:val="000000"/>
        </w:rPr>
        <w:endnoteReference w:id="10"/>
      </w:r>
      <w:r>
        <w:rPr>
          <w:color w:val="000000"/>
        </w:rPr>
        <w:t>)</w:t>
      </w:r>
      <w:r>
        <w:rPr>
          <w:b/>
          <w:color w:val="000000"/>
        </w:rPr>
        <w:t xml:space="preserve">] OU [SIMULAÇÃO DE DESEMPENHO </w:t>
      </w:r>
      <w:r>
        <w:rPr>
          <w:color w:val="000000"/>
        </w:rPr>
        <w:t>(</w:t>
      </w:r>
      <w:r>
        <w:rPr>
          <w:i/>
          <w:color w:val="000000"/>
        </w:rPr>
        <w:t>para fundos estruturados</w:t>
      </w:r>
      <w:r>
        <w:rPr>
          <w:color w:val="000000"/>
        </w:rPr>
        <w:t>)</w:t>
      </w:r>
      <w:proofErr w:type="gramStart"/>
      <w:r>
        <w:rPr>
          <w:b/>
          <w:color w:val="000000"/>
        </w:rPr>
        <w:t>]</w:t>
      </w:r>
      <w:proofErr w:type="gramEnd"/>
      <w:r>
        <w:rPr>
          <w:b/>
          <w:color w:val="000000"/>
        </w:rPr>
        <w:t xml:space="preserve"> </w:t>
      </w:r>
    </w:p>
    <w:p w:rsidR="00B2445D" w:rsidRDefault="00B2445D" w:rsidP="00B2445D">
      <w:pPr>
        <w:spacing w:line="312" w:lineRule="auto"/>
        <w:jc w:val="both"/>
        <w:rPr>
          <w:b/>
          <w:color w:val="000000"/>
        </w:rPr>
      </w:pP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rPr>
        <w:t>para todos os fundos, exceto os estruturados</w:t>
      </w:r>
      <w:proofErr w:type="gramStart"/>
      <w:r>
        <w:rPr>
          <w:rFonts w:ascii="Times New Roman" w:hAnsi="Times New Roman" w:cs="Times New Roman"/>
        </w:rPr>
        <w:t>]</w:t>
      </w:r>
      <w:proofErr w:type="gramEnd"/>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numPr>
          <w:ilvl w:val="1"/>
          <w:numId w:val="74"/>
        </w:numPr>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rPr>
        <w:t>A rentabilidade obtida no passado não representa garantia de resultados futuros.</w:t>
      </w: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p>
    <w:p w:rsidR="00B2445D" w:rsidRDefault="00B2445D" w:rsidP="00B2445D">
      <w:pPr>
        <w:pStyle w:val="NormalWeb"/>
        <w:numPr>
          <w:ilvl w:val="1"/>
          <w:numId w:val="74"/>
        </w:numPr>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b/>
        </w:rPr>
        <w:t xml:space="preserve">Rentabilidade acumulada nos últimos </w:t>
      </w:r>
      <w:proofErr w:type="gramStart"/>
      <w:r>
        <w:rPr>
          <w:rFonts w:ascii="Times New Roman" w:hAnsi="Times New Roman" w:cs="Times New Roman"/>
          <w:b/>
        </w:rPr>
        <w:t>5</w:t>
      </w:r>
      <w:proofErr w:type="gramEnd"/>
      <w:r>
        <w:rPr>
          <w:rFonts w:ascii="Times New Roman" w:hAnsi="Times New Roman" w:cs="Times New Roman"/>
          <w:b/>
        </w:rPr>
        <w:t xml:space="preserve"> anos: [●]%</w:t>
      </w:r>
      <w:r>
        <w:rPr>
          <w:rFonts w:ascii="Times New Roman" w:hAnsi="Times New Roman" w:cs="Times New Roman"/>
        </w:rPr>
        <w:t xml:space="preserve"> [</w:t>
      </w:r>
      <w:r>
        <w:rPr>
          <w:rFonts w:ascii="Times New Roman" w:hAnsi="Times New Roman" w:cs="Times New Roman"/>
          <w:i/>
        </w:rPr>
        <w:t>quando houver índice de referência</w:t>
      </w:r>
      <w:r>
        <w:rPr>
          <w:rFonts w:ascii="Times New Roman" w:hAnsi="Times New Roman" w:cs="Times New Roman"/>
        </w:rPr>
        <w:t xml:space="preserve">: no mesmo período o </w:t>
      </w:r>
      <w:r>
        <w:rPr>
          <w:rFonts w:ascii="Times New Roman" w:hAnsi="Times New Roman" w:cs="Times New Roman"/>
          <w:b/>
        </w:rPr>
        <w:t>[índice de referência]</w:t>
      </w:r>
      <w:r>
        <w:rPr>
          <w:rFonts w:ascii="Times New Roman" w:hAnsi="Times New Roman" w:cs="Times New Roman"/>
        </w:rPr>
        <w:t xml:space="preserve"> variou </w:t>
      </w:r>
      <w:r>
        <w:rPr>
          <w:rFonts w:ascii="Times New Roman" w:hAnsi="Times New Roman" w:cs="Times New Roman"/>
          <w:b/>
        </w:rPr>
        <w:t>[●]%]</w:t>
      </w:r>
      <w:r>
        <w:rPr>
          <w:rFonts w:ascii="Times New Roman" w:hAnsi="Times New Roman" w:cs="Times New Roman"/>
        </w:rPr>
        <w:t xml:space="preserve">.  A tabela abaixo mostra a rentabilidade do </w:t>
      </w:r>
      <w:r>
        <w:rPr>
          <w:rFonts w:ascii="Times New Roman" w:hAnsi="Times New Roman" w:cs="Times New Roman"/>
          <w:b/>
        </w:rPr>
        <w:t xml:space="preserve">fundo </w:t>
      </w:r>
      <w:r>
        <w:rPr>
          <w:rFonts w:ascii="Times New Roman" w:hAnsi="Times New Roman" w:cs="Times New Roman"/>
        </w:rPr>
        <w:t xml:space="preserve">a cada ano nos últimos </w:t>
      </w:r>
      <w:proofErr w:type="gramStart"/>
      <w:r>
        <w:rPr>
          <w:rFonts w:ascii="Times New Roman" w:hAnsi="Times New Roman" w:cs="Times New Roman"/>
        </w:rPr>
        <w:t>5</w:t>
      </w:r>
      <w:proofErr w:type="gramEnd"/>
      <w:r>
        <w:rPr>
          <w:rFonts w:ascii="Times New Roman" w:hAnsi="Times New Roman" w:cs="Times New Roman"/>
        </w:rPr>
        <w:t xml:space="preserve"> anos. [</w:t>
      </w:r>
      <w:r>
        <w:rPr>
          <w:rFonts w:ascii="Times New Roman" w:hAnsi="Times New Roman" w:cs="Times New Roman"/>
          <w:i/>
        </w:rPr>
        <w:t>Se for o caso</w:t>
      </w:r>
      <w:r>
        <w:rPr>
          <w:rFonts w:ascii="Times New Roman" w:hAnsi="Times New Roman" w:cs="Times New Roman"/>
        </w:rPr>
        <w:t xml:space="preserve">; Em </w:t>
      </w:r>
      <w:r>
        <w:rPr>
          <w:rFonts w:ascii="Times New Roman" w:hAnsi="Times New Roman" w:cs="Times New Roman"/>
          <w:b/>
        </w:rPr>
        <w:t xml:space="preserve">[●] </w:t>
      </w:r>
      <w:r>
        <w:rPr>
          <w:rFonts w:ascii="Times New Roman" w:hAnsi="Times New Roman" w:cs="Times New Roman"/>
        </w:rPr>
        <w:t>anos desses anos, o fundo perdeu parte do patrimônio que detinha no início do ano.</w:t>
      </w:r>
      <w:proofErr w:type="gramStart"/>
      <w:r>
        <w:rPr>
          <w:rFonts w:ascii="Times New Roman" w:hAnsi="Times New Roman" w:cs="Times New Roman"/>
        </w:rPr>
        <w:t>]</w:t>
      </w:r>
      <w:proofErr w:type="gramEnd"/>
      <w:r>
        <w:rPr>
          <w:rFonts w:ascii="Times New Roman" w:hAnsi="Times New Roman" w:cs="Times New Roman"/>
        </w:rPr>
        <w:t xml:space="preserve"> </w:t>
      </w: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rPr>
        <w:tab/>
        <w:t>[</w:t>
      </w:r>
      <w:r>
        <w:rPr>
          <w:rFonts w:ascii="Times New Roman" w:hAnsi="Times New Roman" w:cs="Times New Roman"/>
          <w:i/>
        </w:rPr>
        <w:t xml:space="preserve">Quando o fundo tiver sido constituído há menos de </w:t>
      </w:r>
      <w:proofErr w:type="gramStart"/>
      <w:r>
        <w:rPr>
          <w:rFonts w:ascii="Times New Roman" w:hAnsi="Times New Roman" w:cs="Times New Roman"/>
          <w:i/>
        </w:rPr>
        <w:t>5</w:t>
      </w:r>
      <w:proofErr w:type="gramEnd"/>
      <w:r>
        <w:rPr>
          <w:rFonts w:ascii="Times New Roman" w:hAnsi="Times New Roman" w:cs="Times New Roman"/>
          <w:i/>
        </w:rPr>
        <w:t xml:space="preserve"> anos, a rentabilidade acumulada deve ser calculada com base no período de operação do fundo. O investidor deve ser alertado, conforme segue: </w:t>
      </w:r>
      <w:r>
        <w:rPr>
          <w:rFonts w:ascii="Times New Roman" w:hAnsi="Times New Roman" w:cs="Times New Roman"/>
        </w:rPr>
        <w:t xml:space="preserve">A rentabilidade acumulada não engloba os últimos 5 anos porque o </w:t>
      </w:r>
      <w:r>
        <w:rPr>
          <w:rFonts w:ascii="Times New Roman" w:hAnsi="Times New Roman" w:cs="Times New Roman"/>
          <w:b/>
        </w:rPr>
        <w:t xml:space="preserve">fundo </w:t>
      </w:r>
      <w:r>
        <w:rPr>
          <w:rFonts w:ascii="Times New Roman" w:hAnsi="Times New Roman" w:cs="Times New Roman"/>
        </w:rPr>
        <w:t xml:space="preserve">não existia antes de </w:t>
      </w:r>
      <w:r>
        <w:rPr>
          <w:rFonts w:ascii="Times New Roman" w:hAnsi="Times New Roman" w:cs="Times New Roman"/>
          <w:b/>
        </w:rPr>
        <w:t>[início de funcionamento]</w:t>
      </w:r>
      <w:r>
        <w:rPr>
          <w:rFonts w:ascii="Times New Roman" w:hAnsi="Times New Roman" w:cs="Times New Roman"/>
        </w:rPr>
        <w:t xml:space="preserve">.] </w:t>
      </w: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rPr>
        <w:tab/>
      </w: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rPr>
        <w:tab/>
        <w:t>[</w:t>
      </w:r>
      <w:r>
        <w:rPr>
          <w:rFonts w:ascii="Times New Roman" w:hAnsi="Times New Roman" w:cs="Times New Roman"/>
          <w:i/>
        </w:rPr>
        <w:t xml:space="preserve">Quando o fundo tiver sido constituído há menos de </w:t>
      </w:r>
      <w:proofErr w:type="gramStart"/>
      <w:r>
        <w:rPr>
          <w:rFonts w:ascii="Times New Roman" w:hAnsi="Times New Roman" w:cs="Times New Roman"/>
          <w:i/>
        </w:rPr>
        <w:t>5</w:t>
      </w:r>
      <w:proofErr w:type="gramEnd"/>
      <w:r>
        <w:rPr>
          <w:rFonts w:ascii="Times New Roman" w:hAnsi="Times New Roman" w:cs="Times New Roman"/>
          <w:i/>
        </w:rPr>
        <w:t xml:space="preserve"> anos, a tabela a seguir deve ser elaborada com base no período de operação do fundo. O investidor deve ser alertado, conforme segue: </w:t>
      </w:r>
      <w:r>
        <w:rPr>
          <w:rFonts w:ascii="Times New Roman" w:hAnsi="Times New Roman" w:cs="Times New Roman"/>
        </w:rPr>
        <w:t xml:space="preserve">Não foram apresentados dados de rentabilidade passada relativos a </w:t>
      </w:r>
      <w:r>
        <w:rPr>
          <w:rFonts w:ascii="Times New Roman" w:hAnsi="Times New Roman" w:cs="Times New Roman"/>
          <w:b/>
        </w:rPr>
        <w:t>[ano]</w:t>
      </w:r>
      <w:r>
        <w:rPr>
          <w:rFonts w:ascii="Times New Roman" w:hAnsi="Times New Roman" w:cs="Times New Roman"/>
        </w:rPr>
        <w:t xml:space="preserve"> e </w:t>
      </w:r>
      <w:r>
        <w:rPr>
          <w:rFonts w:ascii="Times New Roman" w:hAnsi="Times New Roman" w:cs="Times New Roman"/>
          <w:b/>
        </w:rPr>
        <w:t>[ano]</w:t>
      </w:r>
      <w:r>
        <w:rPr>
          <w:rFonts w:ascii="Times New Roman" w:hAnsi="Times New Roman" w:cs="Times New Roman"/>
        </w:rPr>
        <w:t xml:space="preserve"> porque o </w:t>
      </w:r>
      <w:r>
        <w:rPr>
          <w:rFonts w:ascii="Times New Roman" w:hAnsi="Times New Roman" w:cs="Times New Roman"/>
          <w:b/>
        </w:rPr>
        <w:t xml:space="preserve">fundo </w:t>
      </w:r>
      <w:r>
        <w:rPr>
          <w:rFonts w:ascii="Times New Roman" w:hAnsi="Times New Roman" w:cs="Times New Roman"/>
        </w:rPr>
        <w:t>ainda não existia.]</w:t>
      </w: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774"/>
        <w:gridCol w:w="3252"/>
        <w:gridCol w:w="3070"/>
      </w:tblGrid>
      <w:tr w:rsidR="00B2445D" w:rsidRP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Ano</w:t>
            </w:r>
          </w:p>
        </w:tc>
        <w:tc>
          <w:tcPr>
            <w:tcW w:w="926"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Rentabilidade (líquida de despesas, mas não de impostos</w:t>
            </w:r>
            <w:proofErr w:type="gramStart"/>
            <w:r>
              <w:rPr>
                <w:rFonts w:ascii="Times New Roman" w:hAnsi="Times New Roman" w:cs="Times New Roman"/>
                <w:b/>
                <w:sz w:val="20"/>
                <w:szCs w:val="20"/>
              </w:rPr>
              <w:t>)</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 xml:space="preserve">Variação percentual do [índice de referência] </w:t>
            </w:r>
            <w:r>
              <w:rPr>
                <w:rFonts w:ascii="Times New Roman" w:hAnsi="Times New Roman" w:cs="Times New Roman"/>
                <w:sz w:val="20"/>
                <w:szCs w:val="20"/>
              </w:rPr>
              <w:t>(quando houver)</w:t>
            </w:r>
          </w:p>
        </w:tc>
        <w:tc>
          <w:tcPr>
            <w:tcW w:w="1603"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color w:val="0D0D0D"/>
                <w:sz w:val="20"/>
                <w:szCs w:val="20"/>
              </w:rPr>
              <w:t>Desempenho do fundo como % do [índice de referência]</w:t>
            </w:r>
            <w:r>
              <w:rPr>
                <w:rFonts w:ascii="Times New Roman" w:hAnsi="Times New Roman" w:cs="Times New Roman"/>
                <w:sz w:val="20"/>
                <w:szCs w:val="20"/>
              </w:rPr>
              <w:t xml:space="preserve"> (quando houver)</w:t>
            </w: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[2012]</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[2011]</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[2010]</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[2009]</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[2008]</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bl>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numPr>
          <w:ilvl w:val="1"/>
          <w:numId w:val="74"/>
        </w:numPr>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b/>
        </w:rPr>
        <w:t>Rentabilidade mensal</w:t>
      </w:r>
      <w:r>
        <w:rPr>
          <w:rFonts w:ascii="Times New Roman" w:hAnsi="Times New Roman" w:cs="Times New Roman"/>
        </w:rPr>
        <w:t xml:space="preserve">: a rentabilidade do </w:t>
      </w:r>
      <w:r>
        <w:rPr>
          <w:rFonts w:ascii="Times New Roman" w:hAnsi="Times New Roman" w:cs="Times New Roman"/>
          <w:b/>
        </w:rPr>
        <w:t xml:space="preserve">fundo </w:t>
      </w:r>
      <w:r>
        <w:rPr>
          <w:rFonts w:ascii="Times New Roman" w:hAnsi="Times New Roman" w:cs="Times New Roman"/>
        </w:rPr>
        <w:t>nos últimos 12 meses foi:</w:t>
      </w:r>
      <w:r>
        <w:rPr>
          <w:rStyle w:val="EndnoteReference"/>
          <w:rFonts w:ascii="Times New Roman" w:hAnsi="Times New Roman" w:cs="Times New Roman"/>
        </w:rPr>
        <w:t xml:space="preserve"> </w:t>
      </w:r>
      <w:r>
        <w:rPr>
          <w:rStyle w:val="EndnoteReference"/>
          <w:rFonts w:ascii="Times New Roman" w:hAnsi="Times New Roman" w:cs="Times New Roman"/>
        </w:rPr>
        <w:endnoteReference w:id="11"/>
      </w:r>
    </w:p>
    <w:p w:rsidR="00B2445D" w:rsidRDefault="00B2445D" w:rsidP="00B2445D">
      <w:pPr>
        <w:pStyle w:val="PargrafodaLista1"/>
        <w:spacing w:line="312" w:lineRule="auto"/>
        <w:ind w:left="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774"/>
        <w:gridCol w:w="3252"/>
        <w:gridCol w:w="3070"/>
      </w:tblGrid>
      <w:tr w:rsidR="00B2445D" w:rsidRP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Mês</w:t>
            </w:r>
            <w:r>
              <w:rPr>
                <w:rStyle w:val="EndnoteReference"/>
                <w:rFonts w:ascii="Times New Roman" w:hAnsi="Times New Roman" w:cs="Times New Roman"/>
                <w:b/>
                <w:sz w:val="20"/>
                <w:szCs w:val="20"/>
              </w:rPr>
              <w:endnoteReference w:id="12"/>
            </w:r>
          </w:p>
        </w:tc>
        <w:tc>
          <w:tcPr>
            <w:tcW w:w="926"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b/>
                <w:sz w:val="20"/>
                <w:szCs w:val="20"/>
              </w:rPr>
            </w:pPr>
            <w:r>
              <w:rPr>
                <w:rFonts w:ascii="Times New Roman" w:hAnsi="Times New Roman" w:cs="Times New Roman"/>
                <w:b/>
                <w:sz w:val="20"/>
                <w:szCs w:val="20"/>
              </w:rPr>
              <w:t>Rentabilidade</w:t>
            </w:r>
          </w:p>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 xml:space="preserve">(líquida de despesas, mas não </w:t>
            </w:r>
            <w:r>
              <w:rPr>
                <w:rFonts w:ascii="Times New Roman" w:hAnsi="Times New Roman" w:cs="Times New Roman"/>
                <w:b/>
                <w:sz w:val="20"/>
                <w:szCs w:val="20"/>
              </w:rPr>
              <w:lastRenderedPageBreak/>
              <w:t>de impostos</w:t>
            </w:r>
            <w:proofErr w:type="gramStart"/>
            <w:r>
              <w:rPr>
                <w:rFonts w:ascii="Times New Roman" w:hAnsi="Times New Roman" w:cs="Times New Roman"/>
                <w:b/>
                <w:sz w:val="20"/>
                <w:szCs w:val="20"/>
              </w:rPr>
              <w:t>)</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Variação percentual do [índice de referência] </w:t>
            </w:r>
            <w:r>
              <w:rPr>
                <w:rFonts w:ascii="Times New Roman" w:hAnsi="Times New Roman" w:cs="Times New Roman"/>
                <w:sz w:val="20"/>
                <w:szCs w:val="20"/>
              </w:rPr>
              <w:t>(quando houver)</w:t>
            </w:r>
          </w:p>
        </w:tc>
        <w:tc>
          <w:tcPr>
            <w:tcW w:w="1603"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color w:val="0D0D0D"/>
                <w:sz w:val="20"/>
                <w:szCs w:val="20"/>
              </w:rPr>
              <w:t>Desempenho do fundo como % do [índice de referência]</w:t>
            </w:r>
            <w:r>
              <w:rPr>
                <w:rFonts w:ascii="Times New Roman" w:hAnsi="Times New Roman" w:cs="Times New Roman"/>
                <w:sz w:val="20"/>
                <w:szCs w:val="20"/>
              </w:rPr>
              <w:t xml:space="preserve"> (quando houver)</w:t>
            </w: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lastRenderedPageBreak/>
              <w:t>[Janeiro]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[Fevereiro]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[Março]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[Abril]</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[Maio]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[Junho]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[Julho]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[Agosto]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[Setembro]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[Outubro]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[Novembro]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[Dezembro]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12 meses</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bl>
    <w:p w:rsidR="00B2445D" w:rsidRDefault="00B2445D" w:rsidP="00B2445D">
      <w:pPr>
        <w:spacing w:line="312" w:lineRule="auto"/>
        <w:jc w:val="both"/>
        <w:rPr>
          <w:b/>
          <w:color w:val="000000"/>
        </w:rPr>
      </w:pPr>
    </w:p>
    <w:p w:rsidR="00B2445D" w:rsidRDefault="00B2445D" w:rsidP="00B2445D">
      <w:pPr>
        <w:spacing w:line="312" w:lineRule="auto"/>
        <w:jc w:val="both"/>
        <w:rPr>
          <w:color w:val="000000"/>
        </w:rPr>
      </w:pPr>
      <w:r>
        <w:rPr>
          <w:b/>
          <w:color w:val="000000"/>
        </w:rPr>
        <w:t>[</w:t>
      </w:r>
      <w:r>
        <w:rPr>
          <w:i/>
          <w:color w:val="000000"/>
        </w:rPr>
        <w:t>no caso de</w:t>
      </w:r>
      <w:r>
        <w:rPr>
          <w:b/>
          <w:color w:val="000000"/>
        </w:rPr>
        <w:t xml:space="preserve"> </w:t>
      </w:r>
      <w:r>
        <w:rPr>
          <w:i/>
          <w:color w:val="000000"/>
        </w:rPr>
        <w:t>fundos estruturados</w:t>
      </w:r>
      <w:r>
        <w:rPr>
          <w:color w:val="000000"/>
        </w:rPr>
        <w:t>]</w:t>
      </w:r>
    </w:p>
    <w:p w:rsidR="00B2445D" w:rsidRDefault="00B2445D" w:rsidP="00B2445D">
      <w:pPr>
        <w:spacing w:line="312" w:lineRule="auto"/>
        <w:jc w:val="both"/>
        <w:rPr>
          <w:b/>
          <w:color w:val="000000"/>
        </w:rPr>
      </w:pPr>
    </w:p>
    <w:p w:rsidR="00B2445D" w:rsidRDefault="00B2445D" w:rsidP="00B2445D">
      <w:pPr>
        <w:numPr>
          <w:ilvl w:val="0"/>
          <w:numId w:val="75"/>
        </w:numPr>
        <w:tabs>
          <w:tab w:val="num" w:pos="567"/>
        </w:tabs>
        <w:spacing w:line="312" w:lineRule="auto"/>
        <w:ind w:left="567" w:hanging="567"/>
        <w:jc w:val="both"/>
        <w:rPr>
          <w:color w:val="000000"/>
        </w:rPr>
      </w:pPr>
      <w:r>
        <w:rPr>
          <w:b/>
          <w:color w:val="000000"/>
        </w:rPr>
        <w:t>Fórmula de cálculo da rentabilidade:</w:t>
      </w:r>
      <w:r>
        <w:rPr>
          <w:color w:val="000000"/>
        </w:rPr>
        <w:t xml:space="preserve"> [</w:t>
      </w:r>
      <w:r>
        <w:rPr>
          <w:i/>
          <w:color w:val="000000"/>
        </w:rPr>
        <w:t>descrição da fórmula de cálculo da rentabilidade do fundo, incluindo todas as condições (gatilhos) e cláusulas que afetarão o desempenho</w:t>
      </w:r>
      <w:r>
        <w:rPr>
          <w:color w:val="000000"/>
        </w:rPr>
        <w:t>].</w:t>
      </w:r>
      <w:r>
        <w:rPr>
          <w:b/>
          <w:color w:val="000000"/>
        </w:rPr>
        <w:t xml:space="preserve"> </w:t>
      </w:r>
    </w:p>
    <w:p w:rsidR="00B2445D" w:rsidRDefault="00B2445D" w:rsidP="00B2445D">
      <w:pPr>
        <w:tabs>
          <w:tab w:val="num" w:pos="567"/>
        </w:tabs>
        <w:spacing w:line="312" w:lineRule="auto"/>
        <w:ind w:left="567" w:hanging="567"/>
        <w:jc w:val="both"/>
        <w:rPr>
          <w:color w:val="000000"/>
        </w:rPr>
      </w:pPr>
    </w:p>
    <w:p w:rsidR="00B2445D" w:rsidRDefault="00B2445D" w:rsidP="00B2445D">
      <w:pPr>
        <w:numPr>
          <w:ilvl w:val="0"/>
          <w:numId w:val="75"/>
        </w:numPr>
        <w:tabs>
          <w:tab w:val="num" w:pos="567"/>
        </w:tabs>
        <w:spacing w:line="312" w:lineRule="auto"/>
        <w:ind w:left="567" w:hanging="567"/>
        <w:jc w:val="both"/>
        <w:rPr>
          <w:color w:val="000000"/>
        </w:rPr>
      </w:pPr>
      <w:r>
        <w:rPr>
          <w:b/>
          <w:color w:val="000000"/>
        </w:rPr>
        <w:t>Exemplo do desempenho do fundo:</w:t>
      </w:r>
      <w:r>
        <w:rPr>
          <w:color w:val="000000"/>
        </w:rPr>
        <w:t xml:space="preserve"> </w:t>
      </w:r>
      <w:r>
        <w:rPr>
          <w:b/>
          <w:color w:val="000000"/>
        </w:rPr>
        <w:t xml:space="preserve">os cenários e desempenhos descritos abaixo são meramente exemplificativos e servem somente para demonstrar como a fórmula de cálculo da rentabilidade funciona: </w:t>
      </w:r>
      <w:r>
        <w:rPr>
          <w:color w:val="000000"/>
        </w:rPr>
        <w:t>[</w:t>
      </w:r>
      <w:r>
        <w:rPr>
          <w:i/>
          <w:color w:val="000000"/>
        </w:rPr>
        <w:t>elaborar tabela demonstrando a variação do desempenho do fundo de acordo com a fórmula de cálculo de sua rentabilidade. Caso existam vários cenários ou gatilhos que afetem o cálculo da rentabilidade, todos eles devem estar contemplados na tabela. Os cenários devem ser escolhidos de forma a demonstrar, pelo menos, o pior cenário para o cotista, um médio, e um bom</w:t>
      </w:r>
      <w:proofErr w:type="gramStart"/>
      <w:r>
        <w:rPr>
          <w:color w:val="000000"/>
        </w:rPr>
        <w:t>]</w:t>
      </w:r>
      <w:proofErr w:type="gramEnd"/>
      <w:r>
        <w:rPr>
          <w:color w:val="000000"/>
        </w:rPr>
        <w:t xml:space="preserve"> </w:t>
      </w:r>
    </w:p>
    <w:p w:rsidR="00B2445D" w:rsidRDefault="00B2445D" w:rsidP="00B2445D">
      <w:pPr>
        <w:spacing w:line="312" w:lineRule="auto"/>
        <w:jc w:val="both"/>
        <w:rPr>
          <w:color w:val="000000"/>
        </w:rPr>
      </w:pPr>
    </w:p>
    <w:p w:rsidR="00B2445D" w:rsidRDefault="00B2445D" w:rsidP="00B2445D">
      <w:pPr>
        <w:pStyle w:val="NormalWeb"/>
        <w:numPr>
          <w:ilvl w:val="0"/>
          <w:numId w:val="73"/>
        </w:numPr>
        <w:tabs>
          <w:tab w:val="num" w:pos="567"/>
        </w:tabs>
        <w:spacing w:before="0" w:beforeAutospacing="0" w:after="0" w:afterAutospacing="0" w:line="312" w:lineRule="auto"/>
        <w:ind w:left="0" w:firstLine="0"/>
        <w:jc w:val="both"/>
        <w:rPr>
          <w:rFonts w:ascii="Times New Roman" w:hAnsi="Times New Roman" w:cs="Times New Roman"/>
        </w:rPr>
      </w:pPr>
      <w:r>
        <w:rPr>
          <w:rFonts w:ascii="Times New Roman" w:hAnsi="Times New Roman" w:cs="Times New Roman"/>
          <w:b/>
        </w:rPr>
        <w:t>EXEMPLO COMPARATIVO</w:t>
      </w:r>
      <w:r>
        <w:rPr>
          <w:rFonts w:ascii="Times New Roman" w:hAnsi="Times New Roman" w:cs="Times New Roman"/>
        </w:rPr>
        <w:t>:</w:t>
      </w:r>
      <w:r>
        <w:rPr>
          <w:rStyle w:val="EndnoteReference"/>
          <w:rFonts w:ascii="Times New Roman" w:hAnsi="Times New Roman" w:cs="Times New Roman"/>
        </w:rPr>
        <w:endnoteReference w:id="13"/>
      </w:r>
      <w:r>
        <w:rPr>
          <w:rFonts w:ascii="Times New Roman" w:hAnsi="Times New Roman" w:cs="Times New Roman"/>
        </w:rPr>
        <w:t xml:space="preserve"> </w:t>
      </w:r>
      <w:r>
        <w:rPr>
          <w:rFonts w:ascii="Times New Roman" w:hAnsi="Times New Roman" w:cs="Times New Roman"/>
          <w:b/>
        </w:rPr>
        <w:t>utilize a informação do exemplo abaixo para comparar os custos e os benefícios de investir no fundo com os de investir em outros fundos.</w:t>
      </w:r>
    </w:p>
    <w:p w:rsidR="00B2445D" w:rsidRDefault="00B2445D" w:rsidP="00B2445D">
      <w:pPr>
        <w:pStyle w:val="NormalWeb"/>
        <w:tabs>
          <w:tab w:val="left" w:pos="1134"/>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numPr>
          <w:ilvl w:val="0"/>
          <w:numId w:val="76"/>
        </w:numPr>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b/>
        </w:rPr>
        <w:t xml:space="preserve">Rentabilidade: </w:t>
      </w:r>
      <w:r>
        <w:rPr>
          <w:rFonts w:ascii="Times New Roman" w:hAnsi="Times New Roman" w:cs="Times New Roman"/>
        </w:rPr>
        <w:t xml:space="preserve">Se você tivesse aplicado R$ 1.000,00 (mil reais) no </w:t>
      </w:r>
      <w:r>
        <w:rPr>
          <w:rFonts w:ascii="Times New Roman" w:hAnsi="Times New Roman" w:cs="Times New Roman"/>
          <w:b/>
        </w:rPr>
        <w:t xml:space="preserve">fundo </w:t>
      </w:r>
      <w:r>
        <w:rPr>
          <w:rFonts w:ascii="Times New Roman" w:hAnsi="Times New Roman" w:cs="Times New Roman"/>
        </w:rPr>
        <w:t xml:space="preserve">no primeiro dia útil de </w:t>
      </w:r>
      <w:r>
        <w:rPr>
          <w:rFonts w:ascii="Times New Roman" w:hAnsi="Times New Roman" w:cs="Times New Roman"/>
          <w:b/>
        </w:rPr>
        <w:t>[ano imediatamente anterior ao de emissão da lâmina]</w:t>
      </w:r>
      <w:r>
        <w:rPr>
          <w:rFonts w:ascii="Times New Roman" w:hAnsi="Times New Roman" w:cs="Times New Roman"/>
        </w:rPr>
        <w:t xml:space="preserve"> e não houvesse realizado </w:t>
      </w:r>
      <w:r>
        <w:rPr>
          <w:rFonts w:ascii="Times New Roman" w:hAnsi="Times New Roman" w:cs="Times New Roman"/>
        </w:rPr>
        <w:lastRenderedPageBreak/>
        <w:t xml:space="preserve">outras aplicações, nem solicitado resgates durante o ano, no primeiro dia útil de </w:t>
      </w:r>
      <w:r>
        <w:rPr>
          <w:rFonts w:ascii="Times New Roman" w:hAnsi="Times New Roman" w:cs="Times New Roman"/>
          <w:b/>
        </w:rPr>
        <w:t>[ano de emissão da lâmina]</w:t>
      </w:r>
      <w:r>
        <w:rPr>
          <w:rFonts w:ascii="Times New Roman" w:hAnsi="Times New Roman" w:cs="Times New Roman"/>
        </w:rPr>
        <w:t xml:space="preserve">, você poderia resgatar R$[●], já deduzidos impostos no valor de R$[●]. </w:t>
      </w: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p>
    <w:p w:rsidR="00B2445D" w:rsidRDefault="00B2445D" w:rsidP="00B2445D">
      <w:pPr>
        <w:pStyle w:val="NormalWeb"/>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rPr>
        <w:tab/>
        <w:t>[</w:t>
      </w:r>
      <w:r>
        <w:rPr>
          <w:rFonts w:ascii="Times New Roman" w:hAnsi="Times New Roman" w:cs="Times New Roman"/>
          <w:i/>
        </w:rPr>
        <w:t>adicionar, quando houver:</w:t>
      </w:r>
      <w:r>
        <w:rPr>
          <w:rFonts w:ascii="Times New Roman" w:hAnsi="Times New Roman" w:cs="Times New Roman"/>
        </w:rPr>
        <w:t xml:space="preserve">] A taxa de ingresso teria custado R$[●], a taxa de saída teria custado R$[●], e o ajuste sobre </w:t>
      </w:r>
      <w:proofErr w:type="gramStart"/>
      <w:r>
        <w:rPr>
          <w:rFonts w:ascii="Times New Roman" w:hAnsi="Times New Roman" w:cs="Times New Roman"/>
        </w:rPr>
        <w:t>performance</w:t>
      </w:r>
      <w:proofErr w:type="gramEnd"/>
      <w:r>
        <w:rPr>
          <w:rFonts w:ascii="Times New Roman" w:hAnsi="Times New Roman" w:cs="Times New Roman"/>
        </w:rPr>
        <w:t xml:space="preserve"> individual teria custado R$[●].</w:t>
      </w:r>
    </w:p>
    <w:p w:rsidR="00B2445D" w:rsidRDefault="00B2445D" w:rsidP="00B2445D">
      <w:pPr>
        <w:pStyle w:val="PargrafodaLista1"/>
        <w:tabs>
          <w:tab w:val="num" w:pos="567"/>
        </w:tabs>
        <w:spacing w:line="312" w:lineRule="auto"/>
        <w:ind w:left="567" w:hanging="567"/>
        <w:rPr>
          <w:b/>
          <w:color w:val="000000"/>
        </w:rPr>
      </w:pPr>
    </w:p>
    <w:p w:rsidR="00B2445D" w:rsidRDefault="00B2445D" w:rsidP="00B2445D">
      <w:pPr>
        <w:pStyle w:val="NormalWeb"/>
        <w:numPr>
          <w:ilvl w:val="0"/>
          <w:numId w:val="76"/>
        </w:numPr>
        <w:tabs>
          <w:tab w:val="num" w:pos="567"/>
        </w:tabs>
        <w:spacing w:before="0" w:beforeAutospacing="0" w:after="0" w:afterAutospacing="0" w:line="312" w:lineRule="auto"/>
        <w:ind w:left="567" w:hanging="567"/>
        <w:jc w:val="both"/>
        <w:rPr>
          <w:rFonts w:ascii="Times New Roman" w:hAnsi="Times New Roman" w:cs="Times New Roman"/>
        </w:rPr>
      </w:pPr>
      <w:r>
        <w:rPr>
          <w:rFonts w:ascii="Times New Roman" w:hAnsi="Times New Roman" w:cs="Times New Roman"/>
          <w:b/>
        </w:rPr>
        <w:t xml:space="preserve">Despesas: </w:t>
      </w:r>
      <w:r>
        <w:rPr>
          <w:rFonts w:ascii="Times New Roman" w:hAnsi="Times New Roman" w:cs="Times New Roman"/>
        </w:rPr>
        <w:t xml:space="preserve">As despesas do </w:t>
      </w:r>
      <w:r>
        <w:rPr>
          <w:rFonts w:ascii="Times New Roman" w:hAnsi="Times New Roman" w:cs="Times New Roman"/>
          <w:b/>
        </w:rPr>
        <w:t>fundo</w:t>
      </w:r>
      <w:r>
        <w:rPr>
          <w:rFonts w:ascii="Times New Roman" w:hAnsi="Times New Roman" w:cs="Times New Roman"/>
        </w:rPr>
        <w:t xml:space="preserve">, incluindo a taxa de administração, [a taxa de </w:t>
      </w:r>
      <w:proofErr w:type="gramStart"/>
      <w:r>
        <w:rPr>
          <w:rFonts w:ascii="Times New Roman" w:hAnsi="Times New Roman" w:cs="Times New Roman"/>
        </w:rPr>
        <w:t>performance</w:t>
      </w:r>
      <w:proofErr w:type="gramEnd"/>
      <w:r>
        <w:rPr>
          <w:rFonts w:ascii="Times New Roman" w:hAnsi="Times New Roman" w:cs="Times New Roman"/>
        </w:rPr>
        <w:t xml:space="preserve"> (se houver) ], e as despesas operacionais e de serviços teriam custado R$[●]. </w:t>
      </w:r>
    </w:p>
    <w:p w:rsidR="00B2445D" w:rsidRDefault="00B2445D" w:rsidP="00B2445D">
      <w:pPr>
        <w:pStyle w:val="NormalWeb"/>
        <w:spacing w:before="0" w:beforeAutospacing="0" w:after="0" w:afterAutospacing="0" w:line="312" w:lineRule="auto"/>
        <w:jc w:val="both"/>
        <w:rPr>
          <w:rFonts w:ascii="Times New Roman" w:hAnsi="Times New Roman" w:cs="Times New Roman"/>
        </w:rPr>
      </w:pPr>
    </w:p>
    <w:p w:rsidR="00B2445D" w:rsidRDefault="00B2445D" w:rsidP="00B2445D">
      <w:pPr>
        <w:pStyle w:val="NormalWeb"/>
        <w:numPr>
          <w:ilvl w:val="0"/>
          <w:numId w:val="73"/>
        </w:numPr>
        <w:tabs>
          <w:tab w:val="num" w:pos="567"/>
        </w:tabs>
        <w:spacing w:before="0" w:beforeAutospacing="0" w:after="0" w:afterAutospacing="0" w:line="312" w:lineRule="auto"/>
        <w:ind w:left="0" w:firstLine="0"/>
        <w:jc w:val="both"/>
        <w:rPr>
          <w:rFonts w:ascii="Times New Roman" w:hAnsi="Times New Roman" w:cs="Times New Roman"/>
        </w:rPr>
      </w:pPr>
      <w:r>
        <w:rPr>
          <w:rFonts w:ascii="Times New Roman" w:hAnsi="Times New Roman" w:cs="Times New Roman"/>
          <w:b/>
        </w:rPr>
        <w:t>SIMULAÇÃO DE DESPESAS:</w:t>
      </w:r>
      <w:r>
        <w:rPr>
          <w:rStyle w:val="EndnoteReference"/>
          <w:rFonts w:ascii="Times New Roman" w:hAnsi="Times New Roman" w:cs="Times New Roman"/>
        </w:rPr>
        <w:endnoteReference w:id="14"/>
      </w:r>
      <w:r>
        <w:rPr>
          <w:rFonts w:ascii="Times New Roman" w:hAnsi="Times New Roman" w:cs="Times New Roman"/>
          <w:b/>
        </w:rPr>
        <w:t xml:space="preserve"> utilize a informação a seguir para comparar o efeito das despesas em períodos mais longos de investimento entre diversos fundos</w:t>
      </w:r>
      <w:r>
        <w:rPr>
          <w:rFonts w:ascii="Times New Roman" w:hAnsi="Times New Roman" w:cs="Times New Roman"/>
        </w:rPr>
        <w:t xml:space="preserve">: </w:t>
      </w:r>
    </w:p>
    <w:p w:rsidR="00B2445D" w:rsidRDefault="00B2445D" w:rsidP="00B2445D">
      <w:pPr>
        <w:pStyle w:val="NormalWeb"/>
        <w:spacing w:before="0" w:beforeAutospacing="0" w:after="0" w:afterAutospacing="0" w:line="312" w:lineRule="auto"/>
        <w:jc w:val="both"/>
        <w:rPr>
          <w:rFonts w:ascii="Times New Roman" w:hAnsi="Times New Roman" w:cs="Times New Roman"/>
          <w:b/>
        </w:rPr>
      </w:pPr>
    </w:p>
    <w:p w:rsidR="00B2445D" w:rsidRDefault="00B2445D" w:rsidP="00B2445D">
      <w:pPr>
        <w:pStyle w:val="NormalWeb"/>
        <w:spacing w:before="0" w:beforeAutospacing="0" w:after="0" w:afterAutospacing="0" w:line="312" w:lineRule="auto"/>
        <w:jc w:val="both"/>
        <w:rPr>
          <w:rFonts w:ascii="Times New Roman" w:hAnsi="Times New Roman" w:cs="Times New Roman"/>
        </w:rPr>
      </w:pPr>
      <w:r>
        <w:rPr>
          <w:rFonts w:ascii="Times New Roman" w:hAnsi="Times New Roman" w:cs="Times New Roman"/>
        </w:rPr>
        <w:t xml:space="preserve">Assumindo que a última taxa total de despesas divulgada se mantenha constante e que o </w:t>
      </w:r>
      <w:r>
        <w:rPr>
          <w:rFonts w:ascii="Times New Roman" w:hAnsi="Times New Roman" w:cs="Times New Roman"/>
          <w:b/>
        </w:rPr>
        <w:t xml:space="preserve">fundo </w:t>
      </w:r>
      <w:r>
        <w:rPr>
          <w:rFonts w:ascii="Times New Roman" w:hAnsi="Times New Roman" w:cs="Times New Roman"/>
        </w:rPr>
        <w:t xml:space="preserve">tenha rentabilidade bruta hipotética de 5% ao ano nos próximos </w:t>
      </w:r>
      <w:proofErr w:type="gramStart"/>
      <w:r>
        <w:rPr>
          <w:rFonts w:ascii="Times New Roman" w:hAnsi="Times New Roman" w:cs="Times New Roman"/>
        </w:rPr>
        <w:t>3</w:t>
      </w:r>
      <w:proofErr w:type="gramEnd"/>
      <w:r>
        <w:rPr>
          <w:rFonts w:ascii="Times New Roman" w:hAnsi="Times New Roman" w:cs="Times New Roman"/>
        </w:rPr>
        <w:t xml:space="preserve"> e 5 anos, o retorno após  as despesas terem sido descontadas, considerando a mesma aplicação inicial de R$ 1.000,00 (mil reais), é apresentado na tabela abaixo:</w:t>
      </w:r>
    </w:p>
    <w:p w:rsidR="00B2445D" w:rsidRDefault="00B2445D" w:rsidP="00B2445D">
      <w:pPr>
        <w:tabs>
          <w:tab w:val="num" w:pos="567"/>
        </w:tabs>
        <w:spacing w:line="312" w:lineRule="auto"/>
        <w:jc w:val="both"/>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4"/>
        <w:gridCol w:w="1553"/>
        <w:gridCol w:w="1549"/>
      </w:tblGrid>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 xml:space="preserve">Simulação das Despesas </w:t>
            </w:r>
          </w:p>
        </w:tc>
        <w:tc>
          <w:tcPr>
            <w:tcW w:w="811"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[●+3 anos]</w:t>
            </w:r>
          </w:p>
        </w:tc>
        <w:tc>
          <w:tcPr>
            <w:tcW w:w="809"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[●+5 anos]</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Saldo bruto acumulado (</w:t>
            </w:r>
            <w:proofErr w:type="gramStart"/>
            <w:r>
              <w:rPr>
                <w:color w:val="000000"/>
                <w:sz w:val="20"/>
                <w:szCs w:val="20"/>
              </w:rPr>
              <w:t>hipotético - rentabilidade</w:t>
            </w:r>
            <w:proofErr w:type="gramEnd"/>
            <w:r>
              <w:rPr>
                <w:color w:val="000000"/>
                <w:sz w:val="20"/>
                <w:szCs w:val="20"/>
              </w:rPr>
              <w:t xml:space="preserve"> bruta anual de 5%) </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R$ 1.157,63</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R$ 1.276,28</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Despesas previstas (se a TAXA TOTAL DE DESPESAS se mantiver constante)</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184"/>
              </w:tabs>
              <w:spacing w:line="312" w:lineRule="auto"/>
              <w:jc w:val="center"/>
              <w:rPr>
                <w:color w:val="000000"/>
                <w:sz w:val="20"/>
                <w:szCs w:val="20"/>
              </w:rPr>
            </w:pPr>
            <w:r>
              <w:rPr>
                <w:color w:val="000000"/>
                <w:sz w:val="20"/>
                <w:szCs w:val="20"/>
              </w:rPr>
              <w:t>R$ [●]</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 xml:space="preserve">Retorno bruto hipotético após dedução das despesas e do valor do investimento original (antes da incidência de impostos, de taxas de ingresso e/ou saída, ou de taxa de </w:t>
            </w:r>
            <w:proofErr w:type="gramStart"/>
            <w:r>
              <w:rPr>
                <w:color w:val="000000"/>
                <w:sz w:val="20"/>
                <w:szCs w:val="20"/>
              </w:rPr>
              <w:t>performance</w:t>
            </w:r>
            <w:proofErr w:type="gramEnd"/>
            <w:r>
              <w:rPr>
                <w:color w:val="000000"/>
                <w:sz w:val="20"/>
                <w:szCs w:val="20"/>
              </w:rPr>
              <w:t>)</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184"/>
              </w:tabs>
              <w:spacing w:line="312" w:lineRule="auto"/>
              <w:jc w:val="center"/>
              <w:rPr>
                <w:color w:val="000000"/>
                <w:sz w:val="20"/>
                <w:szCs w:val="20"/>
              </w:rPr>
            </w:pPr>
            <w:r>
              <w:rPr>
                <w:color w:val="000000"/>
                <w:sz w:val="20"/>
                <w:szCs w:val="20"/>
              </w:rPr>
              <w:t>R$ [●]</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184"/>
                <w:tab w:val="num" w:pos="567"/>
              </w:tabs>
              <w:spacing w:line="312" w:lineRule="auto"/>
              <w:jc w:val="center"/>
              <w:rPr>
                <w:color w:val="000000"/>
                <w:sz w:val="20"/>
                <w:szCs w:val="20"/>
              </w:rPr>
            </w:pPr>
            <w:r>
              <w:rPr>
                <w:color w:val="000000"/>
                <w:sz w:val="20"/>
                <w:szCs w:val="20"/>
              </w:rPr>
              <w:t>R$ [●]</w:t>
            </w:r>
          </w:p>
        </w:tc>
      </w:tr>
    </w:tbl>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r>
        <w:rPr>
          <w:rFonts w:ascii="Times New Roman" w:hAnsi="Times New Roman" w:cs="Times New Roman"/>
        </w:rPr>
        <w:t>Este exemplo tem a finalidade de facilitar a comparação do efeito das despesas no longo prazo.  Esta simulação pode ser encontrada na lâmina e na demonstração de desempenho de outros fundos de investimento.</w:t>
      </w: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r>
        <w:rPr>
          <w:rFonts w:ascii="Times New Roman" w:hAnsi="Times New Roman" w:cs="Times New Roman"/>
        </w:rPr>
        <w:t>A simulação acima não implica promessa de que os valores reais ou esperados das despesas ou dos retornos serão iguais aos aqui apresentados.</w:t>
      </w: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numPr>
          <w:ilvl w:val="0"/>
          <w:numId w:val="73"/>
        </w:numPr>
        <w:tabs>
          <w:tab w:val="num" w:pos="567"/>
        </w:tabs>
        <w:spacing w:before="0" w:beforeAutospacing="0" w:after="0" w:afterAutospacing="0" w:line="312" w:lineRule="auto"/>
        <w:ind w:left="0" w:firstLine="0"/>
        <w:jc w:val="both"/>
        <w:rPr>
          <w:rFonts w:ascii="Times New Roman" w:hAnsi="Times New Roman" w:cs="Times New Roman"/>
          <w:b/>
        </w:rPr>
      </w:pPr>
      <w:r>
        <w:rPr>
          <w:rFonts w:ascii="Times New Roman" w:hAnsi="Times New Roman" w:cs="Times New Roman"/>
          <w:b/>
          <w:bCs/>
        </w:rPr>
        <w:t>SERVIÇO DE ATENDIMENTO AO COTISTA:</w:t>
      </w:r>
      <w:r>
        <w:rPr>
          <w:rFonts w:ascii="Times New Roman" w:hAnsi="Times New Roman" w:cs="Times New Roman"/>
          <w:b/>
        </w:rPr>
        <w:t xml:space="preserve"> </w:t>
      </w:r>
    </w:p>
    <w:p w:rsidR="00B2445D" w:rsidRDefault="00B2445D" w:rsidP="00B2445D">
      <w:pPr>
        <w:pStyle w:val="PargrafodaLista1"/>
        <w:spacing w:line="312" w:lineRule="auto"/>
        <w:ind w:left="0"/>
        <w:rPr>
          <w:b/>
          <w:color w:val="000000"/>
        </w:rPr>
      </w:pPr>
    </w:p>
    <w:p w:rsidR="00B2445D" w:rsidRDefault="00B2445D" w:rsidP="00B2445D">
      <w:pPr>
        <w:pStyle w:val="NormalWeb"/>
        <w:numPr>
          <w:ilvl w:val="0"/>
          <w:numId w:val="77"/>
        </w:numPr>
        <w:tabs>
          <w:tab w:val="num" w:pos="1134"/>
        </w:tabs>
        <w:spacing w:before="0" w:beforeAutospacing="0" w:after="0" w:afterAutospacing="0" w:line="312" w:lineRule="auto"/>
        <w:ind w:left="1134" w:hanging="567"/>
        <w:jc w:val="both"/>
        <w:rPr>
          <w:rFonts w:ascii="Times New Roman" w:hAnsi="Times New Roman" w:cs="Times New Roman"/>
          <w:b/>
        </w:rPr>
      </w:pPr>
      <w:r>
        <w:rPr>
          <w:rFonts w:ascii="Times New Roman" w:hAnsi="Times New Roman" w:cs="Times New Roman"/>
        </w:rPr>
        <w:t>Telefone</w:t>
      </w:r>
    </w:p>
    <w:p w:rsidR="00B2445D" w:rsidRDefault="00B2445D" w:rsidP="00B2445D">
      <w:pPr>
        <w:pStyle w:val="NormalWeb"/>
        <w:tabs>
          <w:tab w:val="num" w:pos="1134"/>
        </w:tabs>
        <w:spacing w:before="0" w:beforeAutospacing="0" w:after="0" w:afterAutospacing="0" w:line="312" w:lineRule="auto"/>
        <w:ind w:left="1134" w:hanging="567"/>
        <w:jc w:val="both"/>
        <w:rPr>
          <w:rFonts w:ascii="Times New Roman" w:hAnsi="Times New Roman" w:cs="Times New Roman"/>
          <w:b/>
        </w:rPr>
      </w:pPr>
    </w:p>
    <w:p w:rsidR="00B2445D" w:rsidRDefault="00B2445D" w:rsidP="00B2445D">
      <w:pPr>
        <w:pStyle w:val="NormalWeb"/>
        <w:numPr>
          <w:ilvl w:val="0"/>
          <w:numId w:val="77"/>
        </w:numPr>
        <w:tabs>
          <w:tab w:val="num" w:pos="1134"/>
        </w:tabs>
        <w:spacing w:before="0" w:beforeAutospacing="0" w:after="0" w:afterAutospacing="0" w:line="312" w:lineRule="auto"/>
        <w:ind w:left="1134" w:hanging="567"/>
        <w:jc w:val="both"/>
        <w:rPr>
          <w:rFonts w:ascii="Times New Roman" w:hAnsi="Times New Roman" w:cs="Times New Roman"/>
          <w:b/>
        </w:rPr>
      </w:pPr>
      <w:r>
        <w:rPr>
          <w:rFonts w:ascii="Times New Roman" w:hAnsi="Times New Roman" w:cs="Times New Roman"/>
        </w:rPr>
        <w:t>Página na rede mundial de computadores</w:t>
      </w:r>
    </w:p>
    <w:p w:rsidR="00B2445D" w:rsidRDefault="00B2445D" w:rsidP="00B2445D">
      <w:pPr>
        <w:tabs>
          <w:tab w:val="left" w:pos="1134"/>
        </w:tabs>
        <w:spacing w:line="312" w:lineRule="auto"/>
        <w:jc w:val="both"/>
        <w:rPr>
          <w:color w:val="000000"/>
        </w:rPr>
      </w:pPr>
    </w:p>
    <w:p w:rsidR="00B2445D" w:rsidRDefault="00B2445D" w:rsidP="00B2445D">
      <w:pPr>
        <w:pStyle w:val="NormalWeb"/>
        <w:numPr>
          <w:ilvl w:val="0"/>
          <w:numId w:val="77"/>
        </w:numPr>
        <w:tabs>
          <w:tab w:val="num" w:pos="1134"/>
        </w:tabs>
        <w:spacing w:before="0" w:beforeAutospacing="0" w:after="0" w:afterAutospacing="0" w:line="312" w:lineRule="auto"/>
        <w:ind w:left="1134" w:hanging="567"/>
        <w:jc w:val="both"/>
        <w:rPr>
          <w:rFonts w:ascii="Times New Roman" w:hAnsi="Times New Roman" w:cs="Times New Roman"/>
        </w:rPr>
      </w:pPr>
      <w:r>
        <w:rPr>
          <w:rFonts w:ascii="Times New Roman" w:hAnsi="Times New Roman" w:cs="Times New Roman"/>
          <w:b/>
        </w:rPr>
        <w:t xml:space="preserve">Reclamações: [endereço eletrônico] </w:t>
      </w:r>
      <w:r>
        <w:rPr>
          <w:rFonts w:ascii="Times New Roman" w:hAnsi="Times New Roman" w:cs="Times New Roman"/>
        </w:rPr>
        <w:t>[e demais canais disponíveis]</w:t>
      </w:r>
    </w:p>
    <w:p w:rsidR="00B2445D" w:rsidRDefault="00B2445D" w:rsidP="00B2445D">
      <w:pPr>
        <w:pStyle w:val="NormalWeb"/>
        <w:spacing w:before="0" w:beforeAutospacing="0" w:after="0" w:afterAutospacing="0" w:line="312" w:lineRule="auto"/>
        <w:jc w:val="both"/>
        <w:rPr>
          <w:rFonts w:ascii="Times New Roman" w:hAnsi="Times New Roman" w:cs="Times New Roman"/>
          <w:b/>
        </w:rPr>
      </w:pPr>
    </w:p>
    <w:p w:rsidR="00B2445D" w:rsidRDefault="00B2445D" w:rsidP="00B2445D">
      <w:pPr>
        <w:numPr>
          <w:ilvl w:val="0"/>
          <w:numId w:val="73"/>
        </w:numPr>
        <w:tabs>
          <w:tab w:val="num" w:pos="567"/>
        </w:tabs>
        <w:spacing w:line="312" w:lineRule="auto"/>
        <w:ind w:left="0" w:firstLine="0"/>
        <w:jc w:val="both"/>
        <w:rPr>
          <w:color w:val="000000"/>
        </w:rPr>
      </w:pPr>
      <w:r>
        <w:rPr>
          <w:b/>
          <w:bCs/>
          <w:color w:val="000000"/>
        </w:rPr>
        <w:t>SUPERVISÃO E FISCALIZAÇÃO</w:t>
      </w:r>
      <w:r>
        <w:rPr>
          <w:color w:val="000000"/>
        </w:rPr>
        <w:t xml:space="preserve">: </w:t>
      </w:r>
    </w:p>
    <w:p w:rsidR="00B2445D" w:rsidRDefault="00B2445D" w:rsidP="00B2445D">
      <w:pPr>
        <w:spacing w:line="312" w:lineRule="auto"/>
        <w:jc w:val="both"/>
        <w:rPr>
          <w:color w:val="000000"/>
        </w:rPr>
      </w:pPr>
    </w:p>
    <w:p w:rsidR="00B2445D" w:rsidRDefault="00B2445D" w:rsidP="00B2445D">
      <w:pPr>
        <w:numPr>
          <w:ilvl w:val="1"/>
          <w:numId w:val="73"/>
        </w:numPr>
        <w:tabs>
          <w:tab w:val="left" w:pos="1134"/>
        </w:tabs>
        <w:spacing w:line="312" w:lineRule="auto"/>
        <w:ind w:left="1134" w:hanging="567"/>
        <w:jc w:val="both"/>
        <w:rPr>
          <w:color w:val="000000"/>
        </w:rPr>
      </w:pPr>
      <w:r>
        <w:rPr>
          <w:bCs/>
          <w:color w:val="000000"/>
        </w:rPr>
        <w:t>Comissão de Valores Mobiliários – CVM</w:t>
      </w:r>
    </w:p>
    <w:p w:rsidR="00B2445D" w:rsidRDefault="00B2445D" w:rsidP="00B2445D">
      <w:pPr>
        <w:tabs>
          <w:tab w:val="left" w:pos="1134"/>
        </w:tabs>
        <w:spacing w:line="312" w:lineRule="auto"/>
        <w:ind w:left="1134" w:hanging="567"/>
        <w:jc w:val="both"/>
        <w:rPr>
          <w:color w:val="000000"/>
        </w:rPr>
      </w:pPr>
    </w:p>
    <w:p w:rsidR="00B2445D" w:rsidRDefault="00B2445D" w:rsidP="00B2445D">
      <w:pPr>
        <w:numPr>
          <w:ilvl w:val="1"/>
          <w:numId w:val="73"/>
        </w:numPr>
        <w:tabs>
          <w:tab w:val="left" w:pos="1134"/>
        </w:tabs>
        <w:spacing w:line="312" w:lineRule="auto"/>
        <w:ind w:left="1134" w:hanging="567"/>
        <w:jc w:val="both"/>
        <w:rPr>
          <w:color w:val="000000"/>
        </w:rPr>
      </w:pPr>
      <w:r>
        <w:rPr>
          <w:color w:val="000000"/>
        </w:rPr>
        <w:t xml:space="preserve">Serviço de Atendimento ao Cidadão em </w:t>
      </w:r>
      <w:hyperlink r:id="rId8" w:history="1">
        <w:r>
          <w:rPr>
            <w:rStyle w:val="Hyperlink"/>
          </w:rPr>
          <w:t>www.cvm.gov.br</w:t>
        </w:r>
      </w:hyperlink>
      <w:r>
        <w:rPr>
          <w:color w:val="000000"/>
        </w:rPr>
        <w:t>.</w:t>
      </w:r>
    </w:p>
    <w:p w:rsidR="00B2445D" w:rsidRDefault="00B2445D" w:rsidP="00B2445D">
      <w:pPr>
        <w:pStyle w:val="NormalWeb"/>
        <w:ind w:left="540"/>
        <w:jc w:val="both"/>
        <w:rPr>
          <w:rFonts w:ascii="Times New Roman" w:hAnsi="Times New Roman"/>
          <w:b/>
        </w:rPr>
      </w:pPr>
    </w:p>
    <w:p w:rsidR="00B2445D" w:rsidRDefault="00B2445D" w:rsidP="00B2445D">
      <w:pPr>
        <w:pStyle w:val="NormalWeb"/>
        <w:ind w:left="540"/>
        <w:jc w:val="both"/>
        <w:rPr>
          <w:rFonts w:ascii="Times New Roman" w:hAnsi="Times New Roman"/>
          <w:b/>
        </w:rPr>
      </w:pPr>
      <w:r>
        <w:rPr>
          <w:b/>
        </w:rPr>
        <w:br w:type="page"/>
      </w:r>
      <w:r>
        <w:rPr>
          <w:rFonts w:ascii="Times New Roman" w:hAnsi="Times New Roman"/>
          <w:b/>
        </w:rPr>
        <w:lastRenderedPageBreak/>
        <w:t xml:space="preserve">Anexo IV incluído pela Instrução CVM nº 522, de </w:t>
      </w:r>
      <w:proofErr w:type="gramStart"/>
      <w:r>
        <w:rPr>
          <w:rFonts w:ascii="Times New Roman" w:hAnsi="Times New Roman"/>
          <w:b/>
        </w:rPr>
        <w:t>8</w:t>
      </w:r>
      <w:proofErr w:type="gramEnd"/>
      <w:r>
        <w:rPr>
          <w:rFonts w:ascii="Times New Roman" w:hAnsi="Times New Roman"/>
          <w:b/>
        </w:rPr>
        <w:t xml:space="preserve"> de maio de 2012.</w:t>
      </w:r>
    </w:p>
    <w:p w:rsidR="00B2445D" w:rsidRDefault="00B2445D" w:rsidP="00B2445D">
      <w:pPr>
        <w:pStyle w:val="NormalWeb"/>
        <w:ind w:left="540"/>
        <w:jc w:val="both"/>
        <w:rPr>
          <w:rFonts w:ascii="Times New Roman" w:hAnsi="Times New Roman"/>
          <w:b/>
        </w:rPr>
      </w:pPr>
    </w:p>
    <w:p w:rsidR="00B2445D" w:rsidRDefault="00B2445D" w:rsidP="00B2445D">
      <w:pPr>
        <w:spacing w:line="312" w:lineRule="auto"/>
        <w:jc w:val="center"/>
        <w:outlineLvl w:val="0"/>
      </w:pPr>
      <w:r>
        <w:t>ANEXO IV</w:t>
      </w:r>
    </w:p>
    <w:p w:rsidR="00B2445D" w:rsidRDefault="00B2445D" w:rsidP="00B2445D">
      <w:pPr>
        <w:spacing w:line="312" w:lineRule="auto"/>
        <w:jc w:val="center"/>
        <w:outlineLvl w:val="0"/>
        <w:rPr>
          <w:b/>
        </w:rPr>
      </w:pPr>
      <w:r>
        <w:t xml:space="preserve">MODELO DE DEMONSTRAÇÃO DE DESEMPENHO </w:t>
      </w:r>
    </w:p>
    <w:p w:rsidR="00B2445D" w:rsidRDefault="00B2445D" w:rsidP="00B2445D">
      <w:pPr>
        <w:spacing w:line="312" w:lineRule="auto"/>
        <w:jc w:val="center"/>
        <w:outlineLvl w:val="0"/>
        <w:rPr>
          <w:b/>
        </w:rPr>
      </w:pPr>
    </w:p>
    <w:p w:rsidR="00B2445D" w:rsidRDefault="00B2445D" w:rsidP="00B2445D">
      <w:pPr>
        <w:spacing w:line="312" w:lineRule="auto"/>
        <w:jc w:val="center"/>
        <w:rPr>
          <w:b/>
          <w:bCs/>
          <w:color w:val="0D0D0D"/>
        </w:rPr>
      </w:pPr>
      <w:r>
        <w:rPr>
          <w:b/>
        </w:rPr>
        <w:t>DEMONSTRAÇÃO DE DESEMPENHO DO</w:t>
      </w:r>
      <w:r>
        <w:rPr>
          <w:b/>
          <w:bCs/>
          <w:color w:val="0D0D0D"/>
        </w:rPr>
        <w:t xml:space="preserve"> [nome de fantasia do fundo]</w:t>
      </w:r>
    </w:p>
    <w:p w:rsidR="00B2445D" w:rsidRDefault="00B2445D" w:rsidP="00B2445D">
      <w:pPr>
        <w:spacing w:line="312" w:lineRule="auto"/>
        <w:jc w:val="center"/>
        <w:rPr>
          <w:b/>
          <w:bCs/>
          <w:color w:val="000000"/>
        </w:rPr>
      </w:pPr>
      <w:r>
        <w:rPr>
          <w:b/>
          <w:color w:val="000000"/>
        </w:rPr>
        <w:t xml:space="preserve"> [CNPJ do fundo]</w:t>
      </w:r>
    </w:p>
    <w:p w:rsidR="00B2445D" w:rsidRDefault="00B2445D" w:rsidP="00B2445D">
      <w:pPr>
        <w:spacing w:line="312" w:lineRule="auto"/>
        <w:jc w:val="center"/>
        <w:rPr>
          <w:b/>
          <w:bCs/>
          <w:color w:val="000000"/>
        </w:rPr>
      </w:pPr>
      <w:r>
        <w:rPr>
          <w:b/>
          <w:bCs/>
          <w:color w:val="000000"/>
        </w:rPr>
        <w:t xml:space="preserve">Informações referentes </w:t>
      </w:r>
      <w:proofErr w:type="gramStart"/>
      <w:r>
        <w:rPr>
          <w:b/>
          <w:bCs/>
          <w:color w:val="000000"/>
        </w:rPr>
        <w:t>a</w:t>
      </w:r>
      <w:proofErr w:type="gramEnd"/>
      <w:r>
        <w:rPr>
          <w:b/>
          <w:bCs/>
          <w:color w:val="000000"/>
        </w:rPr>
        <w:t xml:space="preserve"> [ano]</w:t>
      </w:r>
    </w:p>
    <w:p w:rsidR="00B2445D" w:rsidRDefault="00B2445D" w:rsidP="00B2445D">
      <w:pPr>
        <w:spacing w:line="312" w:lineRule="auto"/>
        <w:jc w:val="center"/>
        <w:outlineLvl w:val="0"/>
        <w:rPr>
          <w:b/>
        </w:rPr>
      </w:pPr>
    </w:p>
    <w:p w:rsidR="00B2445D" w:rsidRDefault="00B2445D" w:rsidP="00B2445D">
      <w:pPr>
        <w:spacing w:line="312" w:lineRule="auto"/>
        <w:jc w:val="both"/>
      </w:pPr>
    </w:p>
    <w:p w:rsidR="00B2445D" w:rsidRDefault="00B2445D" w:rsidP="00B2445D">
      <w:pPr>
        <w:numPr>
          <w:ilvl w:val="0"/>
          <w:numId w:val="78"/>
        </w:numPr>
        <w:spacing w:line="312" w:lineRule="auto"/>
        <w:ind w:left="0" w:firstLine="0"/>
        <w:jc w:val="both"/>
        <w:rPr>
          <w:b/>
        </w:rPr>
      </w:pPr>
      <w:r>
        <w:rPr>
          <w:b/>
        </w:rPr>
        <w:t>Denominação completa do fundo conforme o cadastro na CVM: [nome do fundo]</w:t>
      </w:r>
    </w:p>
    <w:p w:rsidR="00B2445D" w:rsidRDefault="00B2445D" w:rsidP="00B2445D">
      <w:pPr>
        <w:spacing w:line="312" w:lineRule="auto"/>
        <w:jc w:val="both"/>
      </w:pPr>
    </w:p>
    <w:p w:rsidR="00B2445D" w:rsidRDefault="00B2445D" w:rsidP="00B2445D">
      <w:pPr>
        <w:numPr>
          <w:ilvl w:val="0"/>
          <w:numId w:val="78"/>
        </w:numPr>
        <w:spacing w:line="312" w:lineRule="auto"/>
        <w:ind w:left="0" w:firstLine="0"/>
        <w:jc w:val="both"/>
      </w:pPr>
      <w:r>
        <w:rPr>
          <w:b/>
        </w:rPr>
        <w:t xml:space="preserve">Rentabilidade </w:t>
      </w:r>
    </w:p>
    <w:p w:rsidR="00B2445D" w:rsidRDefault="00B2445D" w:rsidP="00B2445D">
      <w:pPr>
        <w:pStyle w:val="PargrafodaLista1"/>
        <w:spacing w:line="312" w:lineRule="auto"/>
        <w:rPr>
          <w:b/>
        </w:rPr>
      </w:pPr>
    </w:p>
    <w:p w:rsidR="00B2445D" w:rsidRDefault="00B2445D" w:rsidP="00B2445D">
      <w:pPr>
        <w:tabs>
          <w:tab w:val="left" w:pos="1134"/>
        </w:tabs>
        <w:spacing w:line="312" w:lineRule="auto"/>
        <w:jc w:val="both"/>
      </w:pPr>
      <w:r>
        <w:t>2.1</w:t>
      </w:r>
      <w:r>
        <w:rPr>
          <w:b/>
        </w:rPr>
        <w:t xml:space="preserve"> </w:t>
      </w:r>
      <w:r>
        <w:rPr>
          <w:b/>
        </w:rPr>
        <w:tab/>
        <w:t>Mensal</w:t>
      </w:r>
      <w:r>
        <w:t xml:space="preserve">: a rentabilidade do </w:t>
      </w:r>
      <w:r>
        <w:rPr>
          <w:b/>
        </w:rPr>
        <w:t xml:space="preserve">fundo </w:t>
      </w:r>
      <w:r>
        <w:t>nos últimos 12 meses foi:</w:t>
      </w:r>
    </w:p>
    <w:p w:rsidR="00B2445D" w:rsidRDefault="00B2445D" w:rsidP="00B2445D">
      <w:pPr>
        <w:pStyle w:val="PargrafodaLista1"/>
        <w:spacing w:line="312" w:lineRule="auto"/>
        <w:ind w:left="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774"/>
        <w:gridCol w:w="3252"/>
        <w:gridCol w:w="3070"/>
      </w:tblGrid>
      <w:tr w:rsidR="00B2445D" w:rsidRP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Mês</w:t>
            </w:r>
          </w:p>
        </w:tc>
        <w:tc>
          <w:tcPr>
            <w:tcW w:w="926"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Rentabilidade (líquida de despesas, mas não de impostos</w:t>
            </w:r>
            <w:proofErr w:type="gramStart"/>
            <w:r>
              <w:rPr>
                <w:rFonts w:ascii="Times New Roman" w:hAnsi="Times New Roman" w:cs="Times New Roman"/>
                <w:b/>
                <w:sz w:val="20"/>
                <w:szCs w:val="20"/>
              </w:rPr>
              <w:t>)</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Variação percentual do [índice de referência]</w:t>
            </w:r>
            <w:proofErr w:type="gramStart"/>
            <w:r>
              <w:rPr>
                <w:rFonts w:ascii="Times New Roman" w:hAnsi="Times New Roman" w:cs="Times New Roman"/>
                <w:b/>
                <w:sz w:val="20"/>
                <w:szCs w:val="20"/>
              </w:rPr>
              <w:t xml:space="preserve">  </w:t>
            </w:r>
            <w:proofErr w:type="gramEnd"/>
            <w:r>
              <w:rPr>
                <w:rFonts w:ascii="Times New Roman" w:hAnsi="Times New Roman" w:cs="Times New Roman"/>
                <w:sz w:val="20"/>
                <w:szCs w:val="20"/>
              </w:rPr>
              <w:t>(quando houver)</w:t>
            </w:r>
          </w:p>
        </w:tc>
        <w:tc>
          <w:tcPr>
            <w:tcW w:w="1603"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color w:val="0D0D0D"/>
                <w:sz w:val="20"/>
                <w:szCs w:val="20"/>
              </w:rPr>
              <w:t>Desempenho do fundo como % do [índice de referência]</w:t>
            </w:r>
            <w:r>
              <w:rPr>
                <w:rFonts w:ascii="Times New Roman" w:hAnsi="Times New Roman" w:cs="Times New Roman"/>
                <w:sz w:val="20"/>
                <w:szCs w:val="20"/>
              </w:rPr>
              <w:t xml:space="preserve"> (quando houver)</w:t>
            </w: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[Janeiro]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[Fevereiro]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[Março]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[Abril]</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[Maio]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[Junho]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[Julho]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[Agosto]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[Setembro]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[Outubro]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[Novembro]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[Dezembro]</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12 meses</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bl>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spacing w:line="312" w:lineRule="auto"/>
        <w:jc w:val="both"/>
        <w:rPr>
          <w:b/>
          <w:color w:val="000000"/>
        </w:rPr>
      </w:pPr>
    </w:p>
    <w:p w:rsidR="00B2445D" w:rsidRDefault="00B2445D" w:rsidP="00B2445D">
      <w:pPr>
        <w:tabs>
          <w:tab w:val="left" w:pos="1134"/>
        </w:tabs>
        <w:spacing w:line="312" w:lineRule="auto"/>
        <w:jc w:val="both"/>
        <w:rPr>
          <w:b/>
          <w:color w:val="000000"/>
        </w:rPr>
      </w:pPr>
      <w:r>
        <w:rPr>
          <w:color w:val="000000"/>
        </w:rPr>
        <w:t>2.2</w:t>
      </w:r>
      <w:r>
        <w:rPr>
          <w:b/>
          <w:color w:val="000000"/>
        </w:rPr>
        <w:tab/>
        <w:t xml:space="preserve">Últimos </w:t>
      </w:r>
      <w:proofErr w:type="gramStart"/>
      <w:r>
        <w:rPr>
          <w:b/>
          <w:color w:val="000000"/>
        </w:rPr>
        <w:t>5</w:t>
      </w:r>
      <w:proofErr w:type="gramEnd"/>
      <w:r>
        <w:rPr>
          <w:b/>
          <w:color w:val="000000"/>
        </w:rPr>
        <w:t xml:space="preserve"> (cinco) anos:</w:t>
      </w:r>
    </w:p>
    <w:p w:rsidR="00B2445D" w:rsidRDefault="00B2445D" w:rsidP="00B2445D">
      <w:pPr>
        <w:spacing w:line="312" w:lineRule="auto"/>
        <w:jc w:val="both"/>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774"/>
        <w:gridCol w:w="3252"/>
        <w:gridCol w:w="3070"/>
      </w:tblGrid>
      <w:tr w:rsidR="00B2445D" w:rsidRP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Ano</w:t>
            </w:r>
          </w:p>
        </w:tc>
        <w:tc>
          <w:tcPr>
            <w:tcW w:w="926"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Rentabilidade (líquida de despesas, mas não de impostos</w:t>
            </w:r>
            <w:proofErr w:type="gramStart"/>
            <w:r>
              <w:rPr>
                <w:rFonts w:ascii="Times New Roman" w:hAnsi="Times New Roman" w:cs="Times New Roman"/>
                <w:b/>
                <w:sz w:val="20"/>
                <w:szCs w:val="20"/>
              </w:rPr>
              <w:t>)</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sz w:val="20"/>
                <w:szCs w:val="20"/>
              </w:rPr>
              <w:t xml:space="preserve">Variação percentual do [índice de referência] </w:t>
            </w:r>
            <w:r>
              <w:rPr>
                <w:rFonts w:ascii="Times New Roman" w:hAnsi="Times New Roman" w:cs="Times New Roman"/>
                <w:sz w:val="20"/>
                <w:szCs w:val="20"/>
              </w:rPr>
              <w:t>(quando houver)</w:t>
            </w:r>
          </w:p>
        </w:tc>
        <w:tc>
          <w:tcPr>
            <w:tcW w:w="1603" w:type="pc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2445D" w:rsidRDefault="00B2445D">
            <w:pPr>
              <w:pStyle w:val="NormalWeb"/>
              <w:tabs>
                <w:tab w:val="num" w:pos="1440"/>
              </w:tabs>
              <w:spacing w:before="0" w:beforeAutospacing="0" w:after="0" w:afterAutospacing="0" w:line="312" w:lineRule="auto"/>
              <w:jc w:val="center"/>
              <w:rPr>
                <w:rFonts w:ascii="Times New Roman" w:hAnsi="Times New Roman" w:cs="Times New Roman"/>
                <w:sz w:val="20"/>
                <w:szCs w:val="20"/>
              </w:rPr>
            </w:pPr>
            <w:r>
              <w:rPr>
                <w:rFonts w:ascii="Times New Roman" w:hAnsi="Times New Roman" w:cs="Times New Roman"/>
                <w:b/>
                <w:color w:val="0D0D0D"/>
                <w:sz w:val="20"/>
                <w:szCs w:val="20"/>
              </w:rPr>
              <w:t>Desempenho do fundo como % do [índice de referência]</w:t>
            </w:r>
            <w:r>
              <w:rPr>
                <w:rFonts w:ascii="Times New Roman" w:hAnsi="Times New Roman" w:cs="Times New Roman"/>
                <w:sz w:val="20"/>
                <w:szCs w:val="20"/>
              </w:rPr>
              <w:t xml:space="preserve"> (quando houver)</w:t>
            </w: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[2012]</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[2011]</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[2010]</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[2009]</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r w:rsidR="00B2445D" w:rsidTr="00B2445D">
        <w:tc>
          <w:tcPr>
            <w:tcW w:w="77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r>
              <w:rPr>
                <w:rFonts w:ascii="Times New Roman" w:hAnsi="Times New Roman" w:cs="Times New Roman"/>
                <w:sz w:val="20"/>
                <w:szCs w:val="20"/>
              </w:rPr>
              <w:t>[2008]</w:t>
            </w:r>
          </w:p>
        </w:tc>
        <w:tc>
          <w:tcPr>
            <w:tcW w:w="926"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c>
          <w:tcPr>
            <w:tcW w:w="1603" w:type="pct"/>
            <w:tcBorders>
              <w:top w:val="single" w:sz="4" w:space="0" w:color="000000"/>
              <w:left w:val="single" w:sz="4" w:space="0" w:color="000000"/>
              <w:bottom w:val="single" w:sz="4" w:space="0" w:color="000000"/>
              <w:right w:val="single" w:sz="4" w:space="0" w:color="000000"/>
            </w:tcBorders>
            <w:vAlign w:val="center"/>
          </w:tcPr>
          <w:p w:rsidR="00B2445D" w:rsidRDefault="00B2445D">
            <w:pPr>
              <w:pStyle w:val="NormalWeb"/>
              <w:tabs>
                <w:tab w:val="num" w:pos="1440"/>
              </w:tabs>
              <w:spacing w:before="0" w:beforeAutospacing="0" w:after="0" w:afterAutospacing="0" w:line="312" w:lineRule="auto"/>
              <w:rPr>
                <w:rFonts w:ascii="Times New Roman" w:hAnsi="Times New Roman" w:cs="Times New Roman"/>
                <w:sz w:val="20"/>
                <w:szCs w:val="20"/>
              </w:rPr>
            </w:pPr>
          </w:p>
        </w:tc>
      </w:tr>
    </w:tbl>
    <w:p w:rsidR="00B2445D" w:rsidRDefault="00B2445D" w:rsidP="00B2445D">
      <w:pPr>
        <w:spacing w:line="312" w:lineRule="auto"/>
        <w:jc w:val="both"/>
        <w:rPr>
          <w:b/>
          <w:color w:val="000000"/>
        </w:rPr>
      </w:pPr>
    </w:p>
    <w:p w:rsidR="00B2445D" w:rsidRDefault="00B2445D" w:rsidP="00B2445D">
      <w:pPr>
        <w:pStyle w:val="NormalWeb"/>
        <w:numPr>
          <w:ilvl w:val="0"/>
          <w:numId w:val="78"/>
        </w:numPr>
        <w:spacing w:before="0" w:beforeAutospacing="0" w:after="0" w:afterAutospacing="0" w:line="312" w:lineRule="auto"/>
        <w:ind w:left="0" w:firstLine="0"/>
        <w:jc w:val="both"/>
        <w:rPr>
          <w:rFonts w:ascii="Times New Roman" w:hAnsi="Times New Roman" w:cs="Times New Roman"/>
          <w:b/>
        </w:rPr>
      </w:pPr>
      <w:r>
        <w:rPr>
          <w:rFonts w:ascii="Times New Roman" w:hAnsi="Times New Roman" w:cs="Times New Roman"/>
          <w:b/>
        </w:rPr>
        <w:t>Despesas do fundo</w:t>
      </w:r>
      <w:r>
        <w:rPr>
          <w:rFonts w:ascii="Times New Roman" w:hAnsi="Times New Roman" w:cs="Times New Roman"/>
        </w:rPr>
        <w:t>: as despesas apresentadas na tabela abaixo são debitadas diretamente do patrimônio do fundo e reduzem a sua rentabilidade.  A taxa de despesas é baseada nas despesas ocorridas entre [●] e [●</w:t>
      </w:r>
      <w:proofErr w:type="gramStart"/>
      <w:r>
        <w:rPr>
          <w:rFonts w:ascii="Times New Roman" w:hAnsi="Times New Roman" w:cs="Times New Roman"/>
        </w:rPr>
        <w:t>]</w:t>
      </w:r>
      <w:proofErr w:type="gramEnd"/>
      <w:r>
        <w:rPr>
          <w:rStyle w:val="EndnoteReference"/>
          <w:rFonts w:ascii="Times New Roman" w:hAnsi="Times New Roman" w:cs="Times New Roman"/>
        </w:rPr>
        <w:endnoteReference w:id="15"/>
      </w:r>
      <w:r>
        <w:rPr>
          <w:rFonts w:ascii="Times New Roman" w:hAnsi="Times New Roman" w:cs="Times New Roman"/>
        </w:rPr>
        <w:t>. A taxa de despesas pode variar de período para período.</w:t>
      </w:r>
    </w:p>
    <w:p w:rsidR="00B2445D" w:rsidRDefault="00B2445D" w:rsidP="00B2445D">
      <w:pPr>
        <w:spacing w:line="312"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5"/>
        <w:gridCol w:w="1960"/>
        <w:gridCol w:w="2945"/>
      </w:tblGrid>
      <w:tr w:rsidR="00B2445D" w:rsidRPr="00B2445D" w:rsidTr="00B2445D">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2445D" w:rsidRDefault="00B2445D">
            <w:pPr>
              <w:spacing w:line="312" w:lineRule="auto"/>
              <w:jc w:val="center"/>
              <w:rPr>
                <w:b/>
                <w:sz w:val="20"/>
                <w:szCs w:val="20"/>
              </w:rPr>
            </w:pPr>
            <w:r>
              <w:rPr>
                <w:b/>
                <w:sz w:val="20"/>
                <w:szCs w:val="20"/>
              </w:rPr>
              <w:t xml:space="preserve">Despesas do Fundo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B2445D" w:rsidRDefault="00B2445D">
            <w:pPr>
              <w:spacing w:line="312" w:lineRule="auto"/>
              <w:jc w:val="center"/>
              <w:rPr>
                <w:b/>
                <w:sz w:val="20"/>
                <w:szCs w:val="20"/>
              </w:rPr>
            </w:pPr>
            <w:r>
              <w:rPr>
                <w:b/>
                <w:sz w:val="20"/>
                <w:szCs w:val="20"/>
              </w:rPr>
              <w:t xml:space="preserve">Percentual em relação ao patrimônio líquido diário médio em </w:t>
            </w:r>
            <w:r>
              <w:rPr>
                <w:sz w:val="20"/>
                <w:szCs w:val="20"/>
              </w:rPr>
              <w:t>[●]</w:t>
            </w:r>
          </w:p>
        </w:tc>
      </w:tr>
      <w:tr w:rsidR="00B2445D" w:rsidTr="00B2445D">
        <w:trPr>
          <w:trHeight w:val="78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2445D" w:rsidRDefault="00B2445D">
            <w:pPr>
              <w:spacing w:line="312" w:lineRule="auto"/>
              <w:rPr>
                <w:b/>
                <w:sz w:val="20"/>
                <w:szCs w:val="20"/>
              </w:rPr>
            </w:pPr>
            <w:r>
              <w:rPr>
                <w:b/>
                <w:sz w:val="20"/>
                <w:szCs w:val="20"/>
              </w:rPr>
              <w:t>Taxa de administração</w:t>
            </w:r>
          </w:p>
          <w:p w:rsidR="00B2445D" w:rsidRDefault="00B2445D">
            <w:pPr>
              <w:spacing w:line="312" w:lineRule="auto"/>
              <w:rPr>
                <w:sz w:val="20"/>
                <w:szCs w:val="20"/>
              </w:rPr>
            </w:pPr>
            <w:r>
              <w:rPr>
                <w:sz w:val="20"/>
                <w:szCs w:val="20"/>
              </w:rPr>
              <w:t xml:space="preserve">(inclui as taxas de administração e de </w:t>
            </w:r>
            <w:proofErr w:type="gramStart"/>
            <w:r>
              <w:rPr>
                <w:sz w:val="20"/>
                <w:szCs w:val="20"/>
              </w:rPr>
              <w:t>performance</w:t>
            </w:r>
            <w:proofErr w:type="gramEnd"/>
            <w:r>
              <w:rPr>
                <w:sz w:val="20"/>
                <w:szCs w:val="20"/>
              </w:rPr>
              <w:t>, se houver,  de outros fundos em que este fundo tenha investido)</w:t>
            </w:r>
          </w:p>
        </w:tc>
        <w:tc>
          <w:tcPr>
            <w:tcW w:w="0" w:type="auto"/>
            <w:tcBorders>
              <w:top w:val="single" w:sz="4" w:space="0" w:color="auto"/>
              <w:left w:val="single" w:sz="4" w:space="0" w:color="auto"/>
              <w:bottom w:val="single" w:sz="4" w:space="0" w:color="auto"/>
              <w:right w:val="single" w:sz="4" w:space="0" w:color="auto"/>
            </w:tcBorders>
            <w:vAlign w:val="center"/>
            <w:hideMark/>
          </w:tcPr>
          <w:p w:rsidR="00B2445D" w:rsidRDefault="00B2445D">
            <w:pPr>
              <w:spacing w:line="312" w:lineRule="auto"/>
              <w:rPr>
                <w:sz w:val="20"/>
                <w:szCs w:val="20"/>
              </w:rPr>
            </w:pPr>
            <w:r>
              <w:rPr>
                <w:sz w:val="20"/>
                <w:szCs w:val="20"/>
              </w:rPr>
              <w:t>Parte fixa</w:t>
            </w:r>
          </w:p>
        </w:tc>
        <w:tc>
          <w:tcPr>
            <w:tcW w:w="0" w:type="auto"/>
            <w:tcBorders>
              <w:top w:val="single" w:sz="4" w:space="0" w:color="auto"/>
              <w:left w:val="single" w:sz="4" w:space="0" w:color="auto"/>
              <w:bottom w:val="single" w:sz="4" w:space="0" w:color="auto"/>
              <w:right w:val="single" w:sz="4" w:space="0" w:color="auto"/>
            </w:tcBorders>
          </w:tcPr>
          <w:p w:rsidR="00B2445D" w:rsidRDefault="00B2445D">
            <w:pPr>
              <w:spacing w:line="312" w:lineRule="auto"/>
              <w:rPr>
                <w:sz w:val="20"/>
                <w:szCs w:val="20"/>
              </w:rPr>
            </w:pPr>
          </w:p>
        </w:tc>
      </w:tr>
      <w:tr w:rsidR="00B2445D" w:rsidRPr="00B2445D" w:rsidTr="00B2445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45D" w:rsidRDefault="00B2445D">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445D" w:rsidRDefault="00B2445D">
            <w:pPr>
              <w:spacing w:line="312" w:lineRule="auto"/>
              <w:rPr>
                <w:sz w:val="20"/>
                <w:szCs w:val="20"/>
              </w:rPr>
            </w:pPr>
            <w:r>
              <w:rPr>
                <w:sz w:val="20"/>
                <w:szCs w:val="20"/>
              </w:rPr>
              <w:t xml:space="preserve">Parte variável (taxa de </w:t>
            </w:r>
            <w:proofErr w:type="gramStart"/>
            <w:r>
              <w:rPr>
                <w:sz w:val="20"/>
                <w:szCs w:val="20"/>
              </w:rPr>
              <w:t>performance</w:t>
            </w:r>
            <w:proofErr w:type="gramEnd"/>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2445D" w:rsidRDefault="00B2445D">
            <w:pPr>
              <w:spacing w:line="312" w:lineRule="auto"/>
              <w:rPr>
                <w:sz w:val="20"/>
                <w:szCs w:val="20"/>
              </w:rPr>
            </w:pPr>
          </w:p>
        </w:tc>
      </w:tr>
      <w:tr w:rsidR="00B2445D" w:rsidRPr="00B2445D" w:rsidTr="00B2445D">
        <w:trPr>
          <w:trHeight w:val="701"/>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2445D" w:rsidRDefault="00B2445D">
            <w:pPr>
              <w:spacing w:line="312" w:lineRule="auto"/>
              <w:rPr>
                <w:b/>
                <w:sz w:val="20"/>
                <w:szCs w:val="20"/>
              </w:rPr>
            </w:pPr>
            <w:r>
              <w:rPr>
                <w:b/>
                <w:sz w:val="20"/>
                <w:szCs w:val="20"/>
              </w:rPr>
              <w:t>Outras despesas</w:t>
            </w:r>
          </w:p>
          <w:p w:rsidR="00B2445D" w:rsidRDefault="00B2445D">
            <w:pPr>
              <w:spacing w:line="312" w:lineRule="auto"/>
              <w:rPr>
                <w:b/>
                <w:sz w:val="20"/>
                <w:szCs w:val="20"/>
              </w:rPr>
            </w:pPr>
            <w:r>
              <w:rPr>
                <w:sz w:val="20"/>
                <w:szCs w:val="20"/>
              </w:rPr>
              <w:t>(inclui despesas de serviços de custódia, auditoria, etc.</w:t>
            </w:r>
            <w:proofErr w:type="gramStart"/>
            <w:r>
              <w:rPr>
                <w:sz w:val="20"/>
                <w:szCs w:val="20"/>
              </w:rPr>
              <w:t>)</w:t>
            </w:r>
            <w:proofErr w:type="gramEnd"/>
          </w:p>
        </w:tc>
        <w:tc>
          <w:tcPr>
            <w:tcW w:w="0" w:type="auto"/>
            <w:tcBorders>
              <w:top w:val="single" w:sz="4" w:space="0" w:color="auto"/>
              <w:left w:val="single" w:sz="4" w:space="0" w:color="auto"/>
              <w:bottom w:val="single" w:sz="4" w:space="0" w:color="auto"/>
              <w:right w:val="single" w:sz="4" w:space="0" w:color="auto"/>
            </w:tcBorders>
          </w:tcPr>
          <w:p w:rsidR="00B2445D" w:rsidRDefault="00B2445D">
            <w:pPr>
              <w:spacing w:line="312" w:lineRule="auto"/>
              <w:rPr>
                <w:sz w:val="20"/>
                <w:szCs w:val="20"/>
              </w:rPr>
            </w:pPr>
          </w:p>
        </w:tc>
      </w:tr>
      <w:tr w:rsidR="00B2445D" w:rsidTr="00B2445D">
        <w:trPr>
          <w:trHeight w:val="69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2445D" w:rsidRDefault="00B2445D">
            <w:pPr>
              <w:pStyle w:val="Heading3"/>
              <w:spacing w:before="0" w:after="0" w:line="312" w:lineRule="auto"/>
              <w:jc w:val="right"/>
              <w:rPr>
                <w:rFonts w:ascii="Times New Roman" w:hAnsi="Times New Roman"/>
                <w:sz w:val="20"/>
                <w:szCs w:val="20"/>
                <w:lang w:val="pt-BR" w:eastAsia="pt-BR"/>
              </w:rPr>
            </w:pPr>
            <w:r>
              <w:rPr>
                <w:rFonts w:ascii="Times New Roman" w:hAnsi="Times New Roman"/>
                <w:sz w:val="20"/>
                <w:szCs w:val="20"/>
                <w:lang w:val="pt-BR" w:eastAsia="pt-BR"/>
              </w:rPr>
              <w:lastRenderedPageBreak/>
              <w:t>TAXA TOTAL DE DESPESAS</w:t>
            </w:r>
          </w:p>
        </w:tc>
        <w:tc>
          <w:tcPr>
            <w:tcW w:w="0" w:type="auto"/>
            <w:tcBorders>
              <w:top w:val="single" w:sz="4" w:space="0" w:color="auto"/>
              <w:left w:val="single" w:sz="4" w:space="0" w:color="auto"/>
              <w:bottom w:val="single" w:sz="4" w:space="0" w:color="auto"/>
              <w:right w:val="single" w:sz="4" w:space="0" w:color="auto"/>
            </w:tcBorders>
          </w:tcPr>
          <w:p w:rsidR="00B2445D" w:rsidRDefault="00B2445D">
            <w:pPr>
              <w:spacing w:line="312" w:lineRule="auto"/>
              <w:rPr>
                <w:sz w:val="20"/>
                <w:szCs w:val="20"/>
              </w:rPr>
            </w:pPr>
          </w:p>
        </w:tc>
      </w:tr>
    </w:tbl>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p w:rsidR="00B2445D" w:rsidRDefault="00B2445D" w:rsidP="00B2445D">
      <w:pPr>
        <w:pStyle w:val="PargrafodaLista1"/>
        <w:spacing w:line="312" w:lineRule="auto"/>
        <w:ind w:left="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720"/>
        <w:gridCol w:w="2635"/>
        <w:gridCol w:w="3145"/>
      </w:tblGrid>
      <w:tr w:rsidR="00B2445D" w:rsidRPr="00B2445D" w:rsidTr="00B2445D">
        <w:tc>
          <w:tcPr>
            <w:tcW w:w="334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2445D" w:rsidRDefault="00B2445D">
            <w:pPr>
              <w:spacing w:line="312" w:lineRule="auto"/>
              <w:jc w:val="center"/>
              <w:rPr>
                <w:sz w:val="20"/>
                <w:szCs w:val="20"/>
              </w:rPr>
            </w:pPr>
            <w:r>
              <w:rPr>
                <w:b/>
                <w:sz w:val="20"/>
                <w:szCs w:val="20"/>
              </w:rPr>
              <w:t>Despesas do fundo pagas ao grupo econômico do administrador (e do gestor, se este for diferente</w:t>
            </w:r>
            <w:proofErr w:type="gramStart"/>
            <w:r>
              <w:rPr>
                <w:b/>
                <w:sz w:val="20"/>
                <w:szCs w:val="20"/>
              </w:rPr>
              <w:t>)</w:t>
            </w:r>
            <w:proofErr w:type="gramEnd"/>
            <w:r>
              <w:rPr>
                <w:b/>
                <w:sz w:val="20"/>
                <w:szCs w:val="20"/>
              </w:rPr>
              <w:t xml:space="preserve"> </w:t>
            </w:r>
          </w:p>
        </w:tc>
        <w:tc>
          <w:tcPr>
            <w:tcW w:w="1655" w:type="pct"/>
            <w:tcBorders>
              <w:top w:val="single" w:sz="4" w:space="0" w:color="auto"/>
              <w:left w:val="single" w:sz="4" w:space="0" w:color="auto"/>
              <w:bottom w:val="single" w:sz="4" w:space="0" w:color="auto"/>
              <w:right w:val="single" w:sz="4" w:space="0" w:color="auto"/>
            </w:tcBorders>
            <w:shd w:val="clear" w:color="auto" w:fill="D9D9D9"/>
            <w:hideMark/>
          </w:tcPr>
          <w:p w:rsidR="00B2445D" w:rsidRDefault="00B2445D">
            <w:pPr>
              <w:spacing w:line="312" w:lineRule="auto"/>
              <w:jc w:val="center"/>
              <w:rPr>
                <w:b/>
                <w:sz w:val="20"/>
                <w:szCs w:val="20"/>
              </w:rPr>
            </w:pPr>
            <w:r>
              <w:rPr>
                <w:b/>
                <w:sz w:val="20"/>
                <w:szCs w:val="20"/>
              </w:rPr>
              <w:t xml:space="preserve">Percentual em relação à taxa de despesas em </w:t>
            </w:r>
            <w:r>
              <w:rPr>
                <w:sz w:val="20"/>
                <w:szCs w:val="20"/>
              </w:rPr>
              <w:t>[●]</w:t>
            </w:r>
          </w:p>
        </w:tc>
      </w:tr>
      <w:tr w:rsidR="00B2445D" w:rsidTr="00B2445D">
        <w:trPr>
          <w:trHeight w:val="596"/>
        </w:trPr>
        <w:tc>
          <w:tcPr>
            <w:tcW w:w="1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 xml:space="preserve">Despesas pagas ao grupo econômico do administrador </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Taxa de administração</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B2445D" w:rsidRDefault="00B2445D">
            <w:pPr>
              <w:spacing w:line="312" w:lineRule="auto"/>
              <w:rPr>
                <w:b/>
                <w:sz w:val="20"/>
                <w:szCs w:val="20"/>
              </w:rPr>
            </w:pPr>
          </w:p>
        </w:tc>
      </w:tr>
      <w:tr w:rsidR="00B2445D" w:rsidRPr="00B2445D" w:rsidTr="00B2445D">
        <w:trPr>
          <w:trHeight w:val="243"/>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2445D" w:rsidRDefault="00B2445D">
            <w:pPr>
              <w:rPr>
                <w:bCs/>
                <w:sz w:val="20"/>
                <w:szCs w:val="20"/>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Despesas operacionais e de serviços</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B2445D" w:rsidRDefault="00B2445D">
            <w:pPr>
              <w:spacing w:line="312" w:lineRule="auto"/>
              <w:rPr>
                <w:b/>
                <w:sz w:val="20"/>
                <w:szCs w:val="20"/>
              </w:rPr>
            </w:pPr>
          </w:p>
        </w:tc>
      </w:tr>
      <w:tr w:rsidR="00B2445D" w:rsidTr="00B2445D">
        <w:trPr>
          <w:trHeight w:val="600"/>
        </w:trPr>
        <w:tc>
          <w:tcPr>
            <w:tcW w:w="1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Despesas pagas ao grupo econômico do gestor</w:t>
            </w:r>
            <w:r>
              <w:rPr>
                <w:rStyle w:val="EndnoteReference"/>
                <w:rFonts w:ascii="Times New Roman" w:hAnsi="Times New Roman"/>
                <w:b w:val="0"/>
                <w:sz w:val="20"/>
                <w:szCs w:val="20"/>
                <w:lang w:val="pt-BR" w:eastAsia="pt-BR"/>
              </w:rPr>
              <w:endnoteReference w:id="16"/>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Taxa de administração</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B2445D" w:rsidRDefault="00B2445D">
            <w:pPr>
              <w:spacing w:line="312" w:lineRule="auto"/>
              <w:rPr>
                <w:b/>
                <w:sz w:val="20"/>
                <w:szCs w:val="20"/>
              </w:rPr>
            </w:pPr>
          </w:p>
        </w:tc>
      </w:tr>
      <w:tr w:rsidR="00B2445D" w:rsidRPr="00B2445D" w:rsidTr="00B2445D">
        <w:trPr>
          <w:trHeight w:val="133"/>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2445D" w:rsidRDefault="00B2445D">
            <w:pPr>
              <w:rPr>
                <w:bCs/>
                <w:sz w:val="20"/>
                <w:szCs w:val="20"/>
              </w:rPr>
            </w:pP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rsidR="00B2445D" w:rsidRDefault="00B2445D">
            <w:pPr>
              <w:pStyle w:val="Heading3"/>
              <w:spacing w:before="0" w:after="0" w:line="312" w:lineRule="auto"/>
              <w:rPr>
                <w:rFonts w:ascii="Times New Roman" w:hAnsi="Times New Roman"/>
                <w:b w:val="0"/>
                <w:sz w:val="20"/>
                <w:szCs w:val="20"/>
                <w:lang w:val="pt-BR" w:eastAsia="pt-BR"/>
              </w:rPr>
            </w:pPr>
            <w:r>
              <w:rPr>
                <w:rFonts w:ascii="Times New Roman" w:hAnsi="Times New Roman"/>
                <w:b w:val="0"/>
                <w:sz w:val="20"/>
                <w:szCs w:val="20"/>
                <w:lang w:val="pt-BR" w:eastAsia="pt-BR"/>
              </w:rPr>
              <w:t>Despesas operacionais e de serviços</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B2445D" w:rsidRDefault="00B2445D">
            <w:pPr>
              <w:spacing w:line="312" w:lineRule="auto"/>
              <w:rPr>
                <w:b/>
                <w:sz w:val="20"/>
                <w:szCs w:val="20"/>
              </w:rPr>
            </w:pPr>
          </w:p>
        </w:tc>
      </w:tr>
      <w:tr w:rsidR="00B2445D" w:rsidTr="00B2445D">
        <w:trPr>
          <w:trHeight w:val="603"/>
        </w:trPr>
        <w:tc>
          <w:tcPr>
            <w:tcW w:w="33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445D" w:rsidRDefault="00B2445D">
            <w:pPr>
              <w:pStyle w:val="Heading3"/>
              <w:spacing w:before="0" w:after="0" w:line="312" w:lineRule="auto"/>
              <w:jc w:val="right"/>
              <w:rPr>
                <w:rFonts w:ascii="Times New Roman" w:hAnsi="Times New Roman"/>
                <w:sz w:val="20"/>
                <w:szCs w:val="20"/>
                <w:lang w:val="pt-BR" w:eastAsia="pt-BR"/>
              </w:rPr>
            </w:pPr>
            <w:r>
              <w:rPr>
                <w:rFonts w:ascii="Times New Roman" w:hAnsi="Times New Roman"/>
                <w:sz w:val="20"/>
                <w:szCs w:val="20"/>
                <w:lang w:val="pt-BR" w:eastAsia="pt-BR"/>
              </w:rPr>
              <w:t>TOTAL</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B2445D" w:rsidRDefault="00B2445D">
            <w:pPr>
              <w:spacing w:line="312" w:lineRule="auto"/>
              <w:rPr>
                <w:b/>
                <w:sz w:val="20"/>
                <w:szCs w:val="20"/>
              </w:rPr>
            </w:pPr>
          </w:p>
        </w:tc>
      </w:tr>
    </w:tbl>
    <w:p w:rsidR="00B2445D" w:rsidRDefault="00B2445D" w:rsidP="00B2445D">
      <w:pPr>
        <w:pStyle w:val="NormalWeb"/>
        <w:spacing w:before="0" w:beforeAutospacing="0" w:after="0" w:afterAutospacing="0" w:line="312" w:lineRule="auto"/>
        <w:jc w:val="both"/>
        <w:rPr>
          <w:rFonts w:ascii="Times New Roman" w:hAnsi="Times New Roman" w:cs="Times New Roman"/>
          <w:sz w:val="20"/>
          <w:szCs w:val="20"/>
        </w:rPr>
      </w:pPr>
    </w:p>
    <w:p w:rsidR="00B2445D" w:rsidRDefault="00B2445D" w:rsidP="00B2445D">
      <w:pPr>
        <w:pStyle w:val="NormalWeb"/>
        <w:numPr>
          <w:ilvl w:val="0"/>
          <w:numId w:val="78"/>
        </w:numPr>
        <w:spacing w:before="0" w:beforeAutospacing="0" w:after="0" w:afterAutospacing="0" w:line="312" w:lineRule="auto"/>
        <w:ind w:left="0" w:firstLine="0"/>
        <w:jc w:val="both"/>
        <w:rPr>
          <w:rFonts w:ascii="Times New Roman" w:hAnsi="Times New Roman" w:cs="Times New Roman"/>
        </w:rPr>
      </w:pPr>
      <w:r>
        <w:rPr>
          <w:rFonts w:ascii="Times New Roman" w:hAnsi="Times New Roman" w:cs="Times New Roman"/>
          <w:b/>
        </w:rPr>
        <w:t>EXEMPLO COMPARATIVO</w:t>
      </w:r>
      <w:r>
        <w:rPr>
          <w:rFonts w:ascii="Times New Roman" w:hAnsi="Times New Roman" w:cs="Times New Roman"/>
        </w:rPr>
        <w:t xml:space="preserve">: </w:t>
      </w:r>
      <w:r>
        <w:rPr>
          <w:rFonts w:ascii="Times New Roman" w:hAnsi="Times New Roman" w:cs="Times New Roman"/>
          <w:b/>
        </w:rPr>
        <w:t>utilize a informação do exemplo abaixo para comparar os custos e os benefícios de investir neste fundo com os de investir em outros fundos.</w:t>
      </w:r>
    </w:p>
    <w:p w:rsidR="00B2445D" w:rsidRDefault="00B2445D" w:rsidP="00B2445D">
      <w:pPr>
        <w:pStyle w:val="NormalWeb"/>
        <w:spacing w:before="0" w:beforeAutospacing="0" w:after="0" w:afterAutospacing="0" w:line="312" w:lineRule="auto"/>
        <w:jc w:val="both"/>
        <w:rPr>
          <w:rFonts w:ascii="Times New Roman" w:hAnsi="Times New Roman" w:cs="Times New Roman"/>
        </w:rPr>
      </w:pPr>
    </w:p>
    <w:p w:rsidR="00B2445D" w:rsidRDefault="00B2445D" w:rsidP="00B2445D">
      <w:pPr>
        <w:spacing w:line="312" w:lineRule="auto"/>
        <w:jc w:val="both"/>
      </w:pPr>
      <w:r>
        <w:rPr>
          <w:b/>
        </w:rPr>
        <w:t xml:space="preserve">Rentabilidade: </w:t>
      </w:r>
      <w:r>
        <w:t xml:space="preserve">Se você tivesse aplicado R$ 1.000,00 (mil reais) no </w:t>
      </w:r>
      <w:r>
        <w:rPr>
          <w:b/>
        </w:rPr>
        <w:t>fundo</w:t>
      </w:r>
      <w:r>
        <w:t xml:space="preserve"> no primeiro dia útil de [</w:t>
      </w:r>
      <w:r>
        <w:rPr>
          <w:b/>
        </w:rPr>
        <w:t xml:space="preserve">ano a que se refere </w:t>
      </w:r>
      <w:proofErr w:type="gramStart"/>
      <w:r>
        <w:rPr>
          <w:b/>
        </w:rPr>
        <w:t>a</w:t>
      </w:r>
      <w:proofErr w:type="gramEnd"/>
      <w:r>
        <w:rPr>
          <w:b/>
        </w:rPr>
        <w:t xml:space="preserve"> demonstração</w:t>
      </w:r>
      <w:r>
        <w:t>] e não houvesse realizado outras aplicações, nem solicitado resgates durante o ano, no primeiro dia útil de [</w:t>
      </w:r>
      <w:r>
        <w:rPr>
          <w:b/>
        </w:rPr>
        <w:t>ano a que se refere a demonstração</w:t>
      </w:r>
      <w:r>
        <w:t xml:space="preserve"> +1], você poderia resgatar R$[●], já deduzidos impostos no valor de R$[●]. </w:t>
      </w:r>
    </w:p>
    <w:p w:rsidR="00B2445D" w:rsidRDefault="00B2445D" w:rsidP="00B2445D">
      <w:pPr>
        <w:spacing w:line="312" w:lineRule="auto"/>
        <w:jc w:val="both"/>
        <w:rPr>
          <w:b/>
        </w:rPr>
      </w:pPr>
    </w:p>
    <w:p w:rsidR="00B2445D" w:rsidRDefault="00B2445D" w:rsidP="00B2445D">
      <w:pPr>
        <w:spacing w:line="312" w:lineRule="auto"/>
        <w:jc w:val="both"/>
      </w:pPr>
      <w:r>
        <w:lastRenderedPageBreak/>
        <w:t>[</w:t>
      </w:r>
      <w:r>
        <w:rPr>
          <w:i/>
        </w:rPr>
        <w:t>adicionar, quando houver:</w:t>
      </w:r>
      <w:r>
        <w:t xml:space="preserve">] A taxa de ingresso teria custado R$[●], a taxa de saída teria custado R$[●], o ajuste sobre </w:t>
      </w:r>
      <w:proofErr w:type="gramStart"/>
      <w:r>
        <w:t>performance</w:t>
      </w:r>
      <w:proofErr w:type="gramEnd"/>
      <w:r>
        <w:t xml:space="preserve"> individual teria custado R$[●].</w:t>
      </w:r>
    </w:p>
    <w:p w:rsidR="00B2445D" w:rsidRDefault="00B2445D" w:rsidP="00B2445D">
      <w:pPr>
        <w:spacing w:line="312" w:lineRule="auto"/>
        <w:jc w:val="both"/>
        <w:rPr>
          <w:b/>
        </w:rPr>
      </w:pPr>
    </w:p>
    <w:p w:rsidR="00B2445D" w:rsidRDefault="00B2445D" w:rsidP="00B2445D">
      <w:pPr>
        <w:spacing w:line="312" w:lineRule="auto"/>
        <w:jc w:val="both"/>
      </w:pPr>
      <w:r>
        <w:rPr>
          <w:b/>
        </w:rPr>
        <w:t xml:space="preserve">Despesas: </w:t>
      </w:r>
      <w:r>
        <w:t xml:space="preserve">As despesas do fundo, incluindo a taxa de administração, a taxa de </w:t>
      </w:r>
      <w:proofErr w:type="gramStart"/>
      <w:r>
        <w:t>performance</w:t>
      </w:r>
      <w:proofErr w:type="gramEnd"/>
      <w:r>
        <w:t xml:space="preserve"> (se houver), e as despesas operacionais e de serviços teriam custado R$[●]. </w:t>
      </w:r>
    </w:p>
    <w:p w:rsidR="00B2445D" w:rsidRDefault="00B2445D" w:rsidP="00B2445D">
      <w:pPr>
        <w:spacing w:line="312" w:lineRule="auto"/>
        <w:jc w:val="both"/>
      </w:pPr>
    </w:p>
    <w:p w:rsidR="00B2445D" w:rsidRDefault="00B2445D" w:rsidP="00B2445D">
      <w:pPr>
        <w:pStyle w:val="NormalWeb"/>
        <w:spacing w:before="0" w:beforeAutospacing="0" w:after="0" w:afterAutospacing="0" w:line="312"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b/>
        </w:rPr>
        <w:t>SIMULAÇÃO DE DESPESAS:</w:t>
      </w:r>
      <w:r>
        <w:rPr>
          <w:rStyle w:val="EndnoteReference"/>
          <w:rFonts w:ascii="Times New Roman" w:hAnsi="Times New Roman" w:cs="Times New Roman"/>
        </w:rPr>
        <w:endnoteReference w:id="17"/>
      </w:r>
      <w:r>
        <w:rPr>
          <w:rFonts w:ascii="Times New Roman" w:hAnsi="Times New Roman" w:cs="Times New Roman"/>
          <w:b/>
        </w:rPr>
        <w:t xml:space="preserve"> utilize a informação a seguir para comparar o efeito das despesas em períodos mais longos de investimento entre diversos fundos</w:t>
      </w:r>
      <w:r>
        <w:rPr>
          <w:rFonts w:ascii="Times New Roman" w:hAnsi="Times New Roman" w:cs="Times New Roman"/>
        </w:rPr>
        <w:t xml:space="preserve">: </w:t>
      </w:r>
    </w:p>
    <w:p w:rsidR="00B2445D" w:rsidRDefault="00B2445D" w:rsidP="00B2445D">
      <w:pPr>
        <w:pStyle w:val="NormalWeb"/>
        <w:spacing w:before="0" w:beforeAutospacing="0" w:after="0" w:afterAutospacing="0" w:line="312" w:lineRule="auto"/>
        <w:jc w:val="both"/>
        <w:rPr>
          <w:rFonts w:ascii="Times New Roman" w:hAnsi="Times New Roman" w:cs="Times New Roman"/>
          <w:b/>
        </w:rPr>
      </w:pPr>
    </w:p>
    <w:p w:rsidR="00B2445D" w:rsidRDefault="00B2445D" w:rsidP="00B2445D">
      <w:pPr>
        <w:pStyle w:val="NormalWeb"/>
        <w:spacing w:before="0" w:beforeAutospacing="0" w:after="0" w:afterAutospacing="0" w:line="312" w:lineRule="auto"/>
        <w:jc w:val="both"/>
        <w:rPr>
          <w:rFonts w:ascii="Times New Roman" w:hAnsi="Times New Roman" w:cs="Times New Roman"/>
        </w:rPr>
      </w:pPr>
      <w:r>
        <w:rPr>
          <w:rFonts w:ascii="Times New Roman" w:hAnsi="Times New Roman" w:cs="Times New Roman"/>
        </w:rPr>
        <w:t xml:space="preserve">Assumindo que a última taxa total de despesas divulgada se mantenha constante e que o </w:t>
      </w:r>
      <w:r>
        <w:rPr>
          <w:rFonts w:ascii="Times New Roman" w:hAnsi="Times New Roman" w:cs="Times New Roman"/>
          <w:b/>
        </w:rPr>
        <w:t xml:space="preserve">fundo </w:t>
      </w:r>
      <w:r>
        <w:rPr>
          <w:rFonts w:ascii="Times New Roman" w:hAnsi="Times New Roman" w:cs="Times New Roman"/>
        </w:rPr>
        <w:t xml:space="preserve">tenha rentabilidade bruta hipotética de 5% ao ano nos próximos </w:t>
      </w:r>
      <w:proofErr w:type="gramStart"/>
      <w:r>
        <w:rPr>
          <w:rFonts w:ascii="Times New Roman" w:hAnsi="Times New Roman" w:cs="Times New Roman"/>
        </w:rPr>
        <w:t>3</w:t>
      </w:r>
      <w:proofErr w:type="gramEnd"/>
      <w:r>
        <w:rPr>
          <w:rFonts w:ascii="Times New Roman" w:hAnsi="Times New Roman" w:cs="Times New Roman"/>
        </w:rPr>
        <w:t xml:space="preserve"> e 5 anos, o retorno após as despesas terem sido descontadas, considerando a mesma aplicação inicial de R$ 1.000,00 (mil reais), é apresentado na tabela abaixo:</w:t>
      </w:r>
    </w:p>
    <w:p w:rsidR="00B2445D" w:rsidRDefault="00B2445D" w:rsidP="00B2445D">
      <w:pPr>
        <w:tabs>
          <w:tab w:val="num" w:pos="567"/>
        </w:tabs>
        <w:spacing w:line="312" w:lineRule="auto"/>
        <w:jc w:val="both"/>
        <w:rPr>
          <w:color w:val="000000"/>
        </w:rPr>
      </w:pPr>
    </w:p>
    <w:p w:rsidR="00B2445D" w:rsidRDefault="00B2445D" w:rsidP="00B2445D">
      <w:pPr>
        <w:tabs>
          <w:tab w:val="num" w:pos="567"/>
        </w:tabs>
        <w:spacing w:line="312" w:lineRule="auto"/>
        <w:jc w:val="both"/>
        <w:rPr>
          <w:color w:val="000000"/>
        </w:rPr>
      </w:pPr>
    </w:p>
    <w:p w:rsidR="00B2445D" w:rsidRDefault="00B2445D" w:rsidP="00B2445D">
      <w:pPr>
        <w:tabs>
          <w:tab w:val="num" w:pos="567"/>
        </w:tabs>
        <w:spacing w:line="312" w:lineRule="auto"/>
        <w:jc w:val="both"/>
        <w:rPr>
          <w:color w:val="000000"/>
        </w:rPr>
      </w:pPr>
    </w:p>
    <w:p w:rsidR="00B2445D" w:rsidRDefault="00B2445D" w:rsidP="00B2445D">
      <w:pPr>
        <w:tabs>
          <w:tab w:val="num" w:pos="567"/>
        </w:tabs>
        <w:spacing w:line="312" w:lineRule="auto"/>
        <w:jc w:val="both"/>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4"/>
        <w:gridCol w:w="1553"/>
        <w:gridCol w:w="1549"/>
      </w:tblGrid>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 xml:space="preserve">Simulação das Despesas </w:t>
            </w:r>
          </w:p>
        </w:tc>
        <w:tc>
          <w:tcPr>
            <w:tcW w:w="811"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[●+3 anos]</w:t>
            </w:r>
          </w:p>
        </w:tc>
        <w:tc>
          <w:tcPr>
            <w:tcW w:w="809" w:type="pct"/>
            <w:tcBorders>
              <w:top w:val="single" w:sz="4" w:space="0" w:color="000000"/>
              <w:left w:val="single" w:sz="4" w:space="0" w:color="000000"/>
              <w:bottom w:val="single" w:sz="4" w:space="0" w:color="000000"/>
              <w:right w:val="single" w:sz="4" w:space="0" w:color="000000"/>
            </w:tcBorders>
            <w:shd w:val="clear" w:color="auto" w:fill="FFFF99"/>
            <w:hideMark/>
          </w:tcPr>
          <w:p w:rsidR="00B2445D" w:rsidRDefault="00B2445D">
            <w:pPr>
              <w:tabs>
                <w:tab w:val="num" w:pos="567"/>
              </w:tabs>
              <w:spacing w:line="312" w:lineRule="auto"/>
              <w:jc w:val="center"/>
              <w:rPr>
                <w:b/>
                <w:color w:val="000000"/>
                <w:sz w:val="20"/>
                <w:szCs w:val="20"/>
              </w:rPr>
            </w:pPr>
            <w:r>
              <w:rPr>
                <w:b/>
                <w:color w:val="000000"/>
                <w:sz w:val="20"/>
                <w:szCs w:val="20"/>
              </w:rPr>
              <w:t>[●+5 anos]</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Saldo bruto acumulado (</w:t>
            </w:r>
            <w:proofErr w:type="gramStart"/>
            <w:r>
              <w:rPr>
                <w:color w:val="000000"/>
                <w:sz w:val="20"/>
                <w:szCs w:val="20"/>
              </w:rPr>
              <w:t>hipotético - rentabilidade</w:t>
            </w:r>
            <w:proofErr w:type="gramEnd"/>
            <w:r>
              <w:rPr>
                <w:color w:val="000000"/>
                <w:sz w:val="20"/>
                <w:szCs w:val="20"/>
              </w:rPr>
              <w:t xml:space="preserve"> bruta anual de 5%) </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R$ 1.157,63</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R$ 1.276,28</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Despesas previstas (se a TAXA TOTAL DE DESPESAS se mantiver constante)</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w:t>
            </w:r>
          </w:p>
        </w:tc>
      </w:tr>
      <w:tr w:rsidR="00B2445D" w:rsidTr="00B2445D">
        <w:tc>
          <w:tcPr>
            <w:tcW w:w="3380" w:type="pct"/>
            <w:tcBorders>
              <w:top w:val="single" w:sz="4" w:space="0" w:color="000000"/>
              <w:left w:val="single" w:sz="4" w:space="0" w:color="000000"/>
              <w:bottom w:val="single" w:sz="4" w:space="0" w:color="000000"/>
              <w:right w:val="single" w:sz="4" w:space="0" w:color="000000"/>
            </w:tcBorders>
            <w:shd w:val="clear" w:color="auto" w:fill="DBE5F1"/>
            <w:hideMark/>
          </w:tcPr>
          <w:p w:rsidR="00B2445D" w:rsidRDefault="00B2445D">
            <w:pPr>
              <w:tabs>
                <w:tab w:val="num" w:pos="567"/>
              </w:tabs>
              <w:spacing w:line="312" w:lineRule="auto"/>
              <w:jc w:val="both"/>
              <w:rPr>
                <w:color w:val="000000"/>
                <w:sz w:val="20"/>
                <w:szCs w:val="20"/>
              </w:rPr>
            </w:pPr>
            <w:r>
              <w:rPr>
                <w:color w:val="000000"/>
                <w:sz w:val="20"/>
                <w:szCs w:val="20"/>
              </w:rPr>
              <w:t xml:space="preserve">Retorno bruto hipotético após dedução das despesas (antes da incidência de impostos, de taxas de ingresso e/ou saída, ou de taxa de </w:t>
            </w:r>
            <w:proofErr w:type="gramStart"/>
            <w:r>
              <w:rPr>
                <w:color w:val="000000"/>
                <w:sz w:val="20"/>
                <w:szCs w:val="20"/>
              </w:rPr>
              <w:t>performance</w:t>
            </w:r>
            <w:proofErr w:type="gramEnd"/>
            <w:r>
              <w:rPr>
                <w:color w:val="000000"/>
                <w:sz w:val="20"/>
                <w:szCs w:val="20"/>
              </w:rPr>
              <w:t>)</w:t>
            </w:r>
          </w:p>
        </w:tc>
        <w:tc>
          <w:tcPr>
            <w:tcW w:w="811"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w:t>
            </w:r>
          </w:p>
        </w:tc>
        <w:tc>
          <w:tcPr>
            <w:tcW w:w="809" w:type="pct"/>
            <w:tcBorders>
              <w:top w:val="single" w:sz="4" w:space="0" w:color="000000"/>
              <w:left w:val="single" w:sz="4" w:space="0" w:color="000000"/>
              <w:bottom w:val="single" w:sz="4" w:space="0" w:color="000000"/>
              <w:right w:val="single" w:sz="4" w:space="0" w:color="000000"/>
            </w:tcBorders>
            <w:hideMark/>
          </w:tcPr>
          <w:p w:rsidR="00B2445D" w:rsidRDefault="00B2445D">
            <w:pPr>
              <w:tabs>
                <w:tab w:val="num" w:pos="567"/>
              </w:tabs>
              <w:spacing w:line="312" w:lineRule="auto"/>
              <w:jc w:val="center"/>
              <w:rPr>
                <w:color w:val="000000"/>
                <w:sz w:val="20"/>
                <w:szCs w:val="20"/>
              </w:rPr>
            </w:pPr>
            <w:r>
              <w:rPr>
                <w:color w:val="000000"/>
                <w:sz w:val="20"/>
                <w:szCs w:val="20"/>
              </w:rPr>
              <w:t>R$ [●]</w:t>
            </w:r>
          </w:p>
        </w:tc>
      </w:tr>
    </w:tbl>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p>
    <w:p w:rsidR="00B2445D" w:rsidRDefault="00B2445D" w:rsidP="00B2445D">
      <w:pPr>
        <w:pStyle w:val="NormalWeb"/>
        <w:tabs>
          <w:tab w:val="num" w:pos="1440"/>
        </w:tabs>
        <w:spacing w:before="0" w:beforeAutospacing="0" w:after="0" w:afterAutospacing="0" w:line="312" w:lineRule="auto"/>
        <w:jc w:val="both"/>
        <w:rPr>
          <w:rFonts w:ascii="Times New Roman" w:hAnsi="Times New Roman" w:cs="Times New Roman"/>
        </w:rPr>
      </w:pPr>
      <w:r>
        <w:rPr>
          <w:rFonts w:ascii="Times New Roman" w:hAnsi="Times New Roman" w:cs="Times New Roman"/>
        </w:rPr>
        <w:t>A simulação acima não implica em promessa de que os valores reais ou esperados das despesas ou dos retornos serão iguais aos aqui apresentados.</w:t>
      </w:r>
    </w:p>
    <w:p w:rsidR="00B2445D" w:rsidRDefault="00B2445D" w:rsidP="00B2445D">
      <w:pPr>
        <w:spacing w:line="312" w:lineRule="auto"/>
        <w:jc w:val="both"/>
      </w:pPr>
    </w:p>
    <w:p w:rsidR="00B2445D" w:rsidRDefault="00B2445D" w:rsidP="00B2445D">
      <w:pPr>
        <w:spacing w:line="312" w:lineRule="auto"/>
        <w:jc w:val="both"/>
        <w:rPr>
          <w:b/>
        </w:rPr>
      </w:pPr>
      <w:r>
        <w:t>6.</w:t>
      </w:r>
      <w:r>
        <w:tab/>
      </w:r>
      <w:r>
        <w:rPr>
          <w:b/>
        </w:rPr>
        <w:t>ESCLARECIMENTOS:</w:t>
      </w:r>
    </w:p>
    <w:p w:rsidR="00B2445D" w:rsidRDefault="00B2445D" w:rsidP="00B2445D">
      <w:pPr>
        <w:spacing w:line="312" w:lineRule="auto"/>
        <w:jc w:val="both"/>
      </w:pPr>
    </w:p>
    <w:p w:rsidR="00B2445D" w:rsidRDefault="00B2445D" w:rsidP="00B2445D">
      <w:pPr>
        <w:spacing w:line="312" w:lineRule="auto"/>
        <w:jc w:val="both"/>
      </w:pPr>
      <w:r>
        <w:rPr>
          <w:b/>
        </w:rPr>
        <w:t>Exemplo comparativo e investimento de longo prazo:</w:t>
      </w:r>
      <w:r>
        <w:t xml:space="preserve"> o exemplo comparativo (item </w:t>
      </w:r>
      <w:proofErr w:type="gramStart"/>
      <w:r>
        <w:t>4</w:t>
      </w:r>
      <w:proofErr w:type="gramEnd"/>
      <w:r>
        <w:t xml:space="preserve">) e o quadro de simulação de despesas (item 5) apresentados acima servem para facilitar a comparação do desempenho de seu fundo com o de outros fundos de investimento.  É possível encontrar os mesmos exemplos, calculados a partir das mesmas hipóteses, nas lâminas (nos respectivos itens </w:t>
      </w:r>
      <w:proofErr w:type="gramStart"/>
      <w:r>
        <w:lastRenderedPageBreak/>
        <w:t>8</w:t>
      </w:r>
      <w:proofErr w:type="gramEnd"/>
      <w:r>
        <w:t xml:space="preserve"> e 9) de outros fundos de investimento.  As lâminas estão disponíveis nas páginas eletrônicas dos administradores dos fundos na rede mundial de computadores.</w:t>
      </w:r>
    </w:p>
    <w:p w:rsidR="00B2445D" w:rsidRDefault="00B2445D" w:rsidP="00B2445D">
      <w:pPr>
        <w:spacing w:line="312" w:lineRule="auto"/>
        <w:jc w:val="both"/>
      </w:pPr>
    </w:p>
    <w:p w:rsidR="00B2445D" w:rsidRDefault="00B2445D" w:rsidP="00B2445D">
      <w:pPr>
        <w:spacing w:line="312" w:lineRule="auto"/>
        <w:jc w:val="both"/>
      </w:pPr>
      <w:r>
        <w:rPr>
          <w:b/>
        </w:rPr>
        <w:t xml:space="preserve">Despesas de fundos investidos: </w:t>
      </w:r>
      <w:r>
        <w:t>as despesas apresentadas foram acrescidas das despesas de outros fundos em que este fundo tenha feito aplicações, proporcionalmente ao valor e período do investimento.</w:t>
      </w:r>
    </w:p>
    <w:p w:rsidR="00B2445D" w:rsidRDefault="00B2445D" w:rsidP="00B2445D">
      <w:pPr>
        <w:pStyle w:val="NormalWeb"/>
        <w:spacing w:before="0" w:beforeAutospacing="0" w:after="0" w:afterAutospacing="0" w:line="312" w:lineRule="auto"/>
        <w:jc w:val="both"/>
        <w:rPr>
          <w:rFonts w:ascii="Times New Roman" w:hAnsi="Times New Roman" w:cs="Times New Roman"/>
        </w:rPr>
      </w:pPr>
    </w:p>
    <w:p w:rsidR="00B2445D" w:rsidRDefault="00B2445D" w:rsidP="00B2445D">
      <w:pPr>
        <w:spacing w:line="312" w:lineRule="auto"/>
        <w:jc w:val="both"/>
      </w:pPr>
      <w:r>
        <w:rPr>
          <w:b/>
        </w:rPr>
        <w:t xml:space="preserve">Rentabilidade: </w:t>
      </w:r>
      <w:r>
        <w:t xml:space="preserve">a rentabilidade do fundo não considera despesas individuais, pagas diretamente por cada cotista, como o imposto de renda, o ajuste sobre </w:t>
      </w:r>
      <w:proofErr w:type="gramStart"/>
      <w:r>
        <w:t>performance</w:t>
      </w:r>
      <w:proofErr w:type="gramEnd"/>
      <w:r>
        <w:t xml:space="preserve"> individual, quando permitido pelo regulamento do fundo, e taxas de ingresso e/ou de saída, quando permitidas pelo regulamento. Todos esses valores reduzem a rentabilidade da aplicação do cotista, que será inferior à rentabilidade do fundo. Ao comparar fundos de investimento, verifique o tratamento tributário do fundo e a existência de taxas de ingresso, de saída, ou de </w:t>
      </w:r>
      <w:proofErr w:type="gramStart"/>
      <w:r>
        <w:t>performance</w:t>
      </w:r>
      <w:proofErr w:type="gramEnd"/>
      <w:r>
        <w:t xml:space="preserve"> e o seu possível impacto no retorno da aplicação.</w:t>
      </w:r>
    </w:p>
    <w:p w:rsidR="00B2445D" w:rsidRDefault="00B2445D" w:rsidP="00B2445D">
      <w:pPr>
        <w:spacing w:line="312" w:lineRule="auto"/>
        <w:jc w:val="both"/>
      </w:pPr>
    </w:p>
    <w:p w:rsidR="00B2445D" w:rsidRDefault="00B2445D" w:rsidP="00B2445D">
      <w:pPr>
        <w:spacing w:line="312" w:lineRule="auto"/>
        <w:jc w:val="both"/>
        <w:rPr>
          <w:b/>
        </w:rPr>
      </w:pPr>
      <w:r>
        <w:rPr>
          <w:b/>
        </w:rPr>
        <w:t xml:space="preserve">Impostos: </w:t>
      </w:r>
    </w:p>
    <w:p w:rsidR="00B2445D" w:rsidRDefault="00B2445D" w:rsidP="00B2445D">
      <w:pPr>
        <w:spacing w:line="312" w:lineRule="auto"/>
        <w:jc w:val="both"/>
      </w:pPr>
    </w:p>
    <w:p w:rsidR="00B2445D" w:rsidRDefault="00B2445D" w:rsidP="00B2445D">
      <w:pPr>
        <w:spacing w:line="312" w:lineRule="auto"/>
        <w:jc w:val="both"/>
      </w:pPr>
      <w:r>
        <w:t>[</w:t>
      </w:r>
      <w:r>
        <w:rPr>
          <w:i/>
        </w:rPr>
        <w:t>Quando se tratar de fundo de renda fixa:</w:t>
      </w:r>
      <w:r>
        <w:t xml:space="preserve">] Imposto de Renda (sobre o ganho nominal): De acordo com as hipóteses do exemplo comparativo, existe somente um resgate total após um ano. Dessa forma, a alíquota incidente sobre os rendimentos para a aplicação pelo período de </w:t>
      </w:r>
      <w:proofErr w:type="gramStart"/>
      <w:r>
        <w:t>1</w:t>
      </w:r>
      <w:proofErr w:type="gramEnd"/>
      <w:r>
        <w:t xml:space="preserve"> ano teria sido de 17,5%. Exceção: No caso de fundo de renda fixa de curto prazo, a alíquota teria sido de 20%.</w:t>
      </w:r>
    </w:p>
    <w:p w:rsidR="00B2445D" w:rsidRDefault="00B2445D" w:rsidP="00B2445D">
      <w:pPr>
        <w:spacing w:line="312" w:lineRule="auto"/>
        <w:jc w:val="both"/>
      </w:pPr>
    </w:p>
    <w:p w:rsidR="00B2445D" w:rsidRDefault="00B2445D" w:rsidP="00B2445D">
      <w:pPr>
        <w:spacing w:line="312" w:lineRule="auto"/>
        <w:jc w:val="both"/>
      </w:pPr>
      <w:r>
        <w:t xml:space="preserve"> [</w:t>
      </w:r>
      <w:r>
        <w:rPr>
          <w:i/>
        </w:rPr>
        <w:t>Quando se tratar de fundo de renda variável:</w:t>
      </w:r>
      <w:r>
        <w:t>] Imposto de Renda (sobre o ganho nominal): de acordo com as hipóteses do exemplo comparativo, existe somente um resgate total após um ano.  Dessa forma, a alíquota incidente sobre os rendimentos para a aplicação teria sido de 15%.</w:t>
      </w:r>
    </w:p>
    <w:p w:rsidR="00B2445D" w:rsidRDefault="00B2445D" w:rsidP="00B2445D">
      <w:pPr>
        <w:pStyle w:val="NormalWeb"/>
        <w:spacing w:before="0" w:beforeAutospacing="0" w:after="0" w:afterAutospacing="0" w:line="312" w:lineRule="auto"/>
        <w:ind w:firstLine="567"/>
        <w:jc w:val="center"/>
        <w:rPr>
          <w:b/>
          <w:bCs/>
        </w:rPr>
      </w:pPr>
      <w:r>
        <w:rPr>
          <w:b/>
        </w:rPr>
        <w:br w:type="page"/>
      </w:r>
    </w:p>
    <w:p w:rsidR="00B2445D" w:rsidRDefault="00B2445D" w:rsidP="00B2445D">
      <w:pPr>
        <w:tabs>
          <w:tab w:val="left" w:pos="5103"/>
        </w:tabs>
        <w:spacing w:line="312" w:lineRule="auto"/>
        <w:jc w:val="both"/>
        <w:rPr>
          <w:b/>
        </w:rPr>
      </w:pPr>
      <w:r>
        <w:rPr>
          <w:b/>
          <w:bCs/>
        </w:rPr>
        <w:lastRenderedPageBreak/>
        <w:t xml:space="preserve">Anexo V </w:t>
      </w:r>
      <w:r>
        <w:rPr>
          <w:b/>
        </w:rPr>
        <w:t>incluído pela Instrução CVM nº 512, de 20 de dezembro de 2011.</w:t>
      </w:r>
    </w:p>
    <w:p w:rsidR="00B2445D" w:rsidRDefault="00B2445D" w:rsidP="00B2445D">
      <w:pPr>
        <w:pStyle w:val="Title"/>
        <w:spacing w:line="312" w:lineRule="auto"/>
        <w:ind w:firstLine="567"/>
        <w:rPr>
          <w:b w:val="0"/>
          <w:bCs w:val="0"/>
        </w:rPr>
      </w:pPr>
    </w:p>
    <w:p w:rsidR="00B2445D" w:rsidRDefault="00B2445D" w:rsidP="00B2445D">
      <w:pPr>
        <w:pStyle w:val="Title"/>
        <w:spacing w:line="312" w:lineRule="auto"/>
        <w:ind w:firstLine="567"/>
        <w:rPr>
          <w:b w:val="0"/>
          <w:bCs w:val="0"/>
        </w:rPr>
      </w:pPr>
      <w:r>
        <w:rPr>
          <w:b w:val="0"/>
          <w:bCs w:val="0"/>
        </w:rPr>
        <w:t>ANEXO V</w:t>
      </w:r>
    </w:p>
    <w:p w:rsidR="00B2445D" w:rsidRDefault="00B2445D" w:rsidP="00B2445D">
      <w:pPr>
        <w:pStyle w:val="Title"/>
        <w:spacing w:line="312" w:lineRule="auto"/>
        <w:ind w:firstLine="567"/>
        <w:rPr>
          <w:b w:val="0"/>
          <w:bCs w:val="0"/>
        </w:rPr>
      </w:pPr>
    </w:p>
    <w:p w:rsidR="00B2445D" w:rsidRDefault="00B2445D" w:rsidP="00B2445D">
      <w:pPr>
        <w:pStyle w:val="Title"/>
        <w:spacing w:line="312" w:lineRule="auto"/>
        <w:ind w:firstLine="567"/>
        <w:rPr>
          <w:b w:val="0"/>
          <w:bCs w:val="0"/>
        </w:rPr>
      </w:pPr>
      <w:r>
        <w:rPr>
          <w:b w:val="0"/>
          <w:bCs w:val="0"/>
        </w:rPr>
        <w:t>PERFIL MENSAL DO [nome de fantasia do fundo]</w:t>
      </w:r>
    </w:p>
    <w:p w:rsidR="00B2445D" w:rsidRDefault="00B2445D" w:rsidP="00B2445D">
      <w:pPr>
        <w:pStyle w:val="Title"/>
        <w:spacing w:line="312" w:lineRule="auto"/>
        <w:ind w:firstLine="567"/>
        <w:rPr>
          <w:b w:val="0"/>
          <w:bCs w:val="0"/>
        </w:rPr>
      </w:pPr>
      <w:r>
        <w:rPr>
          <w:b w:val="0"/>
          <w:bCs w:val="0"/>
        </w:rPr>
        <w:t>[CNPJ do fundo]</w:t>
      </w:r>
    </w:p>
    <w:p w:rsidR="00B2445D" w:rsidRDefault="00B2445D" w:rsidP="00B2445D">
      <w:pPr>
        <w:pStyle w:val="Title"/>
        <w:spacing w:line="312" w:lineRule="auto"/>
        <w:ind w:firstLine="567"/>
        <w:rPr>
          <w:b w:val="0"/>
          <w:bCs w:val="0"/>
        </w:rPr>
      </w:pPr>
      <w:r>
        <w:rPr>
          <w:b w:val="0"/>
          <w:bCs w:val="0"/>
        </w:rPr>
        <w:t xml:space="preserve">Informações referentes </w:t>
      </w:r>
      <w:proofErr w:type="gramStart"/>
      <w:r>
        <w:rPr>
          <w:b w:val="0"/>
          <w:bCs w:val="0"/>
        </w:rPr>
        <w:t>a</w:t>
      </w:r>
      <w:proofErr w:type="gramEnd"/>
      <w:r>
        <w:rPr>
          <w:b w:val="0"/>
          <w:bCs w:val="0"/>
        </w:rPr>
        <w:t xml:space="preserve"> [mês] de [ano]</w:t>
      </w:r>
    </w:p>
    <w:p w:rsidR="00B2445D" w:rsidRDefault="00B2445D" w:rsidP="00B2445D">
      <w:pPr>
        <w:pStyle w:val="Title"/>
        <w:spacing w:line="312" w:lineRule="auto"/>
        <w:ind w:firstLine="567"/>
        <w:jc w:val="both"/>
        <w:rPr>
          <w:b w:val="0"/>
          <w:bCs w:val="0"/>
        </w:rPr>
      </w:pPr>
    </w:p>
    <w:tbl>
      <w:tblPr>
        <w:tblW w:w="51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701"/>
        <w:gridCol w:w="1099"/>
        <w:gridCol w:w="323"/>
        <w:gridCol w:w="256"/>
        <w:gridCol w:w="459"/>
        <w:gridCol w:w="200"/>
        <w:gridCol w:w="300"/>
        <w:gridCol w:w="340"/>
        <w:gridCol w:w="352"/>
        <w:gridCol w:w="79"/>
        <w:gridCol w:w="605"/>
        <w:gridCol w:w="894"/>
      </w:tblGrid>
      <w:tr w:rsidR="00B2445D" w:rsidRPr="00B2445D" w:rsidTr="00B2445D">
        <w:tc>
          <w:tcPr>
            <w:tcW w:w="5000" w:type="pct"/>
            <w:gridSpan w:val="12"/>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b/>
                <w:bCs/>
                <w:sz w:val="15"/>
                <w:szCs w:val="15"/>
              </w:rPr>
              <w:t>1</w:t>
            </w:r>
            <w:proofErr w:type="gramEnd"/>
            <w:r>
              <w:rPr>
                <w:rFonts w:ascii="Verdana" w:hAnsi="Verdana"/>
                <w:b/>
                <w:bCs/>
                <w:sz w:val="15"/>
                <w:szCs w:val="15"/>
              </w:rPr>
              <w:t>) Número de cotistas do Fundo no último dia útil do mês de referência, por tipo de cotista:</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física </w:t>
            </w:r>
            <w:proofErr w:type="spellStart"/>
            <w:r>
              <w:rPr>
                <w:rFonts w:ascii="Verdana" w:hAnsi="Verdana"/>
                <w:b/>
                <w:sz w:val="15"/>
                <w:szCs w:val="15"/>
              </w:rPr>
              <w:t>private</w:t>
            </w:r>
            <w:proofErr w:type="spellEnd"/>
            <w:r>
              <w:rPr>
                <w:rFonts w:ascii="Verdana" w:hAnsi="Verdana"/>
                <w:b/>
                <w:sz w:val="15"/>
                <w:szCs w:val="15"/>
              </w:rPr>
              <w:t xml:space="preserve"> banking</w:t>
            </w:r>
            <w:r>
              <w:rPr>
                <w:rFonts w:ascii="Verdana" w:hAnsi="Verdana"/>
                <w:sz w:val="15"/>
                <w:szCs w:val="15"/>
              </w:rPr>
              <w:t>;</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física varejo;</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jurídica não financeira </w:t>
            </w:r>
            <w:proofErr w:type="spellStart"/>
            <w:r>
              <w:rPr>
                <w:rFonts w:ascii="Verdana" w:hAnsi="Verdana"/>
                <w:b/>
                <w:sz w:val="15"/>
                <w:szCs w:val="15"/>
              </w:rPr>
              <w:t>private</w:t>
            </w:r>
            <w:proofErr w:type="spellEnd"/>
            <w:r>
              <w:rPr>
                <w:rFonts w:ascii="Verdana" w:hAnsi="Verdana"/>
                <w:b/>
                <w:sz w:val="15"/>
                <w:szCs w:val="15"/>
              </w:rPr>
              <w:t xml:space="preserve"> banking</w:t>
            </w:r>
            <w:r>
              <w:rPr>
                <w:rFonts w:ascii="Verdana" w:hAnsi="Verdana"/>
                <w:sz w:val="15"/>
                <w:szCs w:val="15"/>
              </w:rPr>
              <w:t>;</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jurídica não financeira varejo;</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banco</w:t>
            </w:r>
            <w:proofErr w:type="gramEnd"/>
            <w:r>
              <w:rPr>
                <w:rFonts w:ascii="Verdana" w:hAnsi="Verdana"/>
                <w:sz w:val="15"/>
                <w:szCs w:val="15"/>
              </w:rPr>
              <w:t xml:space="preserve"> comercial;</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corretora</w:t>
            </w:r>
            <w:proofErr w:type="gramEnd"/>
            <w:r>
              <w:rPr>
                <w:rFonts w:ascii="Verdana" w:hAnsi="Verdana"/>
                <w:sz w:val="15"/>
                <w:szCs w:val="15"/>
              </w:rPr>
              <w:t xml:space="preserve"> ou distribuidora;</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outras</w:t>
            </w:r>
            <w:proofErr w:type="gramEnd"/>
            <w:r>
              <w:rPr>
                <w:rFonts w:ascii="Verdana" w:hAnsi="Verdana"/>
                <w:sz w:val="15"/>
                <w:szCs w:val="15"/>
              </w:rPr>
              <w:t xml:space="preserve"> pessoas jurídicas financeiras;</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investidores</w:t>
            </w:r>
            <w:proofErr w:type="gramEnd"/>
            <w:r>
              <w:rPr>
                <w:rFonts w:ascii="Verdana" w:hAnsi="Verdana"/>
                <w:sz w:val="15"/>
                <w:szCs w:val="15"/>
              </w:rPr>
              <w:t xml:space="preserve"> não residentes;</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entidade</w:t>
            </w:r>
            <w:proofErr w:type="gramEnd"/>
            <w:r>
              <w:rPr>
                <w:rFonts w:ascii="Verdana" w:hAnsi="Verdana"/>
                <w:sz w:val="15"/>
                <w:szCs w:val="15"/>
              </w:rPr>
              <w:t xml:space="preserve"> aberta de previdência complementar;</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entidade</w:t>
            </w:r>
            <w:proofErr w:type="gramEnd"/>
            <w:r>
              <w:rPr>
                <w:rFonts w:ascii="Verdana" w:hAnsi="Verdana"/>
                <w:sz w:val="15"/>
                <w:szCs w:val="15"/>
              </w:rPr>
              <w:t xml:space="preserve"> fechada de previdência complementar;</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15"/>
                <w:szCs w:val="15"/>
              </w:rPr>
            </w:pPr>
            <w:proofErr w:type="gramStart"/>
            <w:r>
              <w:rPr>
                <w:rFonts w:ascii="Verdana" w:hAnsi="Verdana"/>
                <w:sz w:val="15"/>
                <w:szCs w:val="15"/>
              </w:rPr>
              <w:t>regime</w:t>
            </w:r>
            <w:proofErr w:type="gramEnd"/>
            <w:r>
              <w:rPr>
                <w:rFonts w:ascii="Verdana" w:hAnsi="Verdana"/>
                <w:sz w:val="15"/>
                <w:szCs w:val="15"/>
              </w:rPr>
              <w:t xml:space="preserve"> próprio de previdência dos servidores públicos;</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sociedade</w:t>
            </w:r>
            <w:proofErr w:type="gramEnd"/>
            <w:r>
              <w:rPr>
                <w:rFonts w:ascii="Verdana" w:hAnsi="Verdana"/>
                <w:sz w:val="15"/>
                <w:szCs w:val="15"/>
              </w:rPr>
              <w:t xml:space="preserve"> seguradora ou </w:t>
            </w:r>
            <w:proofErr w:type="spellStart"/>
            <w:r>
              <w:rPr>
                <w:rFonts w:ascii="Verdana" w:hAnsi="Verdana"/>
                <w:sz w:val="15"/>
                <w:szCs w:val="15"/>
              </w:rPr>
              <w:t>resseguradora</w:t>
            </w:r>
            <w:proofErr w:type="spellEnd"/>
            <w:r>
              <w:rPr>
                <w:rFonts w:ascii="Verdana" w:hAnsi="Verdana"/>
                <w:sz w:val="15"/>
                <w:szCs w:val="15"/>
              </w:rPr>
              <w:t>;</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sociedade</w:t>
            </w:r>
            <w:proofErr w:type="gramEnd"/>
            <w:r>
              <w:rPr>
                <w:rFonts w:ascii="Verdana" w:hAnsi="Verdana"/>
                <w:sz w:val="15"/>
                <w:szCs w:val="15"/>
              </w:rPr>
              <w:t xml:space="preserve"> de capitalização e de arrendamento mercantil;</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fundos</w:t>
            </w:r>
            <w:proofErr w:type="gramEnd"/>
            <w:r>
              <w:rPr>
                <w:rFonts w:ascii="Verdana" w:hAnsi="Verdana"/>
                <w:sz w:val="15"/>
                <w:szCs w:val="15"/>
              </w:rPr>
              <w:t xml:space="preserve"> e clubes de investimento;</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cotistas</w:t>
            </w:r>
            <w:proofErr w:type="gramEnd"/>
            <w:r>
              <w:rPr>
                <w:rFonts w:ascii="Verdana" w:hAnsi="Verdana"/>
                <w:sz w:val="15"/>
                <w:szCs w:val="15"/>
              </w:rPr>
              <w:t xml:space="preserve"> de distribuidores do fundo (distribuição por conta e ordem);</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Tr="00B2445D">
        <w:tc>
          <w:tcPr>
            <w:tcW w:w="3559"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outros</w:t>
            </w:r>
            <w:proofErr w:type="gramEnd"/>
            <w:r>
              <w:rPr>
                <w:rFonts w:ascii="Verdana" w:hAnsi="Verdana"/>
                <w:sz w:val="15"/>
                <w:szCs w:val="15"/>
              </w:rPr>
              <w:t xml:space="preserve"> tipos de cotistas não relacionados.</w:t>
            </w:r>
          </w:p>
        </w:tc>
        <w:tc>
          <w:tcPr>
            <w:tcW w:w="1441" w:type="pct"/>
            <w:gridSpan w:val="7"/>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Numérico inteiro</w:t>
            </w:r>
          </w:p>
        </w:tc>
      </w:tr>
      <w:tr w:rsidR="00B2445D" w:rsidRPr="00B2445D" w:rsidTr="00B2445D">
        <w:tc>
          <w:tcPr>
            <w:tcW w:w="5000" w:type="pct"/>
            <w:gridSpan w:val="1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b/>
                <w:bCs/>
                <w:sz w:val="15"/>
                <w:szCs w:val="15"/>
              </w:rPr>
              <w:t>2</w:t>
            </w:r>
            <w:proofErr w:type="gramEnd"/>
            <w:r>
              <w:rPr>
                <w:rFonts w:ascii="Verdana" w:hAnsi="Verdana"/>
                <w:b/>
                <w:bCs/>
                <w:sz w:val="15"/>
                <w:szCs w:val="15"/>
              </w:rPr>
              <w:t>) Distribuição percentual do patrimônio do Fundo no último dia útil do mês de referência, por tipo de cliente cotista:</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física </w:t>
            </w:r>
            <w:proofErr w:type="spellStart"/>
            <w:r>
              <w:rPr>
                <w:rFonts w:ascii="Verdana" w:hAnsi="Verdana"/>
                <w:b/>
                <w:sz w:val="15"/>
                <w:szCs w:val="15"/>
              </w:rPr>
              <w:t>private</w:t>
            </w:r>
            <w:proofErr w:type="spellEnd"/>
            <w:r>
              <w:rPr>
                <w:rFonts w:ascii="Verdana" w:hAnsi="Verdana"/>
                <w:b/>
                <w:sz w:val="15"/>
                <w:szCs w:val="15"/>
              </w:rPr>
              <w:t xml:space="preserve"> banking</w:t>
            </w:r>
            <w:r>
              <w:rPr>
                <w:rFonts w:ascii="Verdana" w:hAnsi="Verdana"/>
                <w:sz w:val="15"/>
                <w:szCs w:val="15"/>
              </w:rPr>
              <w:t>;</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física varejo;</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jurídica não financeira </w:t>
            </w:r>
            <w:proofErr w:type="spellStart"/>
            <w:r>
              <w:rPr>
                <w:rFonts w:ascii="Verdana" w:hAnsi="Verdana"/>
                <w:b/>
                <w:sz w:val="15"/>
                <w:szCs w:val="15"/>
              </w:rPr>
              <w:t>private</w:t>
            </w:r>
            <w:proofErr w:type="spellEnd"/>
            <w:r>
              <w:rPr>
                <w:rFonts w:ascii="Verdana" w:hAnsi="Verdana"/>
                <w:b/>
                <w:sz w:val="15"/>
                <w:szCs w:val="15"/>
              </w:rPr>
              <w:t xml:space="preserve"> banking</w:t>
            </w:r>
            <w:r>
              <w:rPr>
                <w:rFonts w:ascii="Verdana" w:hAnsi="Verdana"/>
                <w:sz w:val="15"/>
                <w:szCs w:val="15"/>
              </w:rPr>
              <w:t>;</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pessoa</w:t>
            </w:r>
            <w:proofErr w:type="gramEnd"/>
            <w:r>
              <w:rPr>
                <w:rFonts w:ascii="Verdana" w:hAnsi="Verdana"/>
                <w:sz w:val="15"/>
                <w:szCs w:val="15"/>
              </w:rPr>
              <w:t xml:space="preserve"> jurídica não financeira varejo;</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banco</w:t>
            </w:r>
            <w:proofErr w:type="gramEnd"/>
            <w:r>
              <w:rPr>
                <w:rFonts w:ascii="Verdana" w:hAnsi="Verdana"/>
                <w:sz w:val="15"/>
                <w:szCs w:val="15"/>
              </w:rPr>
              <w:t xml:space="preserve"> comercial;</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corretora</w:t>
            </w:r>
            <w:proofErr w:type="gramEnd"/>
            <w:r>
              <w:rPr>
                <w:rFonts w:ascii="Verdana" w:hAnsi="Verdana"/>
                <w:sz w:val="15"/>
                <w:szCs w:val="15"/>
              </w:rPr>
              <w:t xml:space="preserve"> ou distribuidora;</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outras</w:t>
            </w:r>
            <w:proofErr w:type="gramEnd"/>
            <w:r>
              <w:rPr>
                <w:rFonts w:ascii="Verdana" w:hAnsi="Verdana"/>
                <w:sz w:val="15"/>
                <w:szCs w:val="15"/>
              </w:rPr>
              <w:t xml:space="preserve"> pessoas jurídicas financeiras;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investidores</w:t>
            </w:r>
            <w:proofErr w:type="gramEnd"/>
            <w:r>
              <w:rPr>
                <w:rFonts w:ascii="Verdana" w:hAnsi="Verdana"/>
                <w:sz w:val="15"/>
                <w:szCs w:val="15"/>
              </w:rPr>
              <w:t xml:space="preserve"> não residentes;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entidade</w:t>
            </w:r>
            <w:proofErr w:type="gramEnd"/>
            <w:r>
              <w:rPr>
                <w:rFonts w:ascii="Verdana" w:hAnsi="Verdana"/>
                <w:sz w:val="15"/>
                <w:szCs w:val="15"/>
              </w:rPr>
              <w:t xml:space="preserve"> aberta de previdência complementar;</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15"/>
                <w:szCs w:val="15"/>
              </w:rPr>
            </w:pPr>
            <w:proofErr w:type="gramStart"/>
            <w:r>
              <w:rPr>
                <w:rFonts w:ascii="Verdana" w:hAnsi="Verdana"/>
                <w:sz w:val="15"/>
                <w:szCs w:val="15"/>
              </w:rPr>
              <w:lastRenderedPageBreak/>
              <w:t>entidade</w:t>
            </w:r>
            <w:proofErr w:type="gramEnd"/>
            <w:r>
              <w:rPr>
                <w:rFonts w:ascii="Verdana" w:hAnsi="Verdana"/>
                <w:sz w:val="15"/>
                <w:szCs w:val="15"/>
              </w:rPr>
              <w:t xml:space="preserve"> fechada de previdência complementar;</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15"/>
                <w:szCs w:val="15"/>
              </w:rPr>
            </w:pPr>
            <w:proofErr w:type="gramStart"/>
            <w:r>
              <w:rPr>
                <w:rFonts w:ascii="Verdana" w:hAnsi="Verdana"/>
                <w:sz w:val="15"/>
                <w:szCs w:val="15"/>
              </w:rPr>
              <w:t>regime</w:t>
            </w:r>
            <w:proofErr w:type="gramEnd"/>
            <w:r>
              <w:rPr>
                <w:rFonts w:ascii="Verdana" w:hAnsi="Verdana"/>
                <w:sz w:val="15"/>
                <w:szCs w:val="15"/>
              </w:rPr>
              <w:t xml:space="preserve"> próprio de previdência dos servidores públicos;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sociedade</w:t>
            </w:r>
            <w:proofErr w:type="gramEnd"/>
            <w:r>
              <w:rPr>
                <w:rFonts w:ascii="Verdana" w:hAnsi="Verdana"/>
                <w:sz w:val="15"/>
                <w:szCs w:val="15"/>
              </w:rPr>
              <w:t xml:space="preserve"> seguradora ou </w:t>
            </w:r>
            <w:proofErr w:type="spellStart"/>
            <w:r>
              <w:rPr>
                <w:rFonts w:ascii="Verdana" w:hAnsi="Verdana"/>
                <w:sz w:val="15"/>
                <w:szCs w:val="15"/>
              </w:rPr>
              <w:t>resseguradora</w:t>
            </w:r>
            <w:proofErr w:type="spellEnd"/>
            <w:r>
              <w:rPr>
                <w:rFonts w:ascii="Verdana" w:hAnsi="Verdana"/>
                <w:sz w:val="15"/>
                <w:szCs w:val="15"/>
              </w:rPr>
              <w:t>;</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sociedade</w:t>
            </w:r>
            <w:proofErr w:type="gramEnd"/>
            <w:r>
              <w:rPr>
                <w:rFonts w:ascii="Verdana" w:hAnsi="Verdana"/>
                <w:sz w:val="15"/>
                <w:szCs w:val="15"/>
              </w:rPr>
              <w:t xml:space="preserve"> de capitalização e de arrendamento mercantil;</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fundos</w:t>
            </w:r>
            <w:proofErr w:type="gramEnd"/>
            <w:r>
              <w:rPr>
                <w:rFonts w:ascii="Verdana" w:hAnsi="Verdana"/>
                <w:sz w:val="15"/>
                <w:szCs w:val="15"/>
              </w:rPr>
              <w:t xml:space="preserve"> e clubes de investimento;</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cotistas</w:t>
            </w:r>
            <w:proofErr w:type="gramEnd"/>
            <w:r>
              <w:rPr>
                <w:rFonts w:ascii="Verdana" w:hAnsi="Verdana"/>
                <w:sz w:val="15"/>
                <w:szCs w:val="15"/>
              </w:rPr>
              <w:t xml:space="preserve"> de distribuidores do fundo (distribuição por conta e ordem);</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outros</w:t>
            </w:r>
            <w:proofErr w:type="gramEnd"/>
            <w:r>
              <w:rPr>
                <w:rFonts w:ascii="Verdana" w:hAnsi="Verdana"/>
                <w:sz w:val="15"/>
                <w:szCs w:val="15"/>
              </w:rPr>
              <w:t xml:space="preserve"> tipos de cotistas não relacionados.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Numérico com uma casa decimal. Valor máximo 100%</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3</w:t>
            </w:r>
            <w:proofErr w:type="gramEnd"/>
            <w:r>
              <w:rPr>
                <w:rFonts w:ascii="Verdana" w:hAnsi="Verdana"/>
                <w:bCs/>
                <w:sz w:val="15"/>
                <w:szCs w:val="15"/>
              </w:rPr>
              <w:t>) Caso o fundo possua política de exercício de direito de voto, apresentar resumo do teor dos votos proferidos pelo administrador, gestor ou por seus representantes, nas assembleias gerais e especiais das companhias nas quais o fundo detenha participação, que tenham sido realizadas no período</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Campo texto - 4.000 caracteres</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4</w:t>
            </w:r>
            <w:proofErr w:type="gramEnd"/>
            <w:r>
              <w:rPr>
                <w:rFonts w:ascii="Verdana" w:hAnsi="Verdana"/>
                <w:bCs/>
                <w:sz w:val="15"/>
                <w:szCs w:val="15"/>
              </w:rPr>
              <w:t>) Caso o fundo possua política de exercício de direito de voto, apresentar justificativa sumária do voto proferido pelo administrador, gestor ou por seus representantes, ou as razões sumárias para a sua abstenção ou não comparecimento à assembleia geral</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Campo texto - 4.000 caracteres</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5</w:t>
            </w:r>
            <w:proofErr w:type="gramEnd"/>
            <w:r>
              <w:rPr>
                <w:rFonts w:ascii="Verdana" w:hAnsi="Verdana"/>
                <w:bCs/>
                <w:sz w:val="15"/>
                <w:szCs w:val="15"/>
              </w:rPr>
              <w:t>) Qual é o VAR (Valor de risco) de um dia como percentual do PL calculado para 21 dias úteis e 95% de confiança?</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 xml:space="preserve">Numérico com </w:t>
            </w:r>
            <w:proofErr w:type="gramStart"/>
            <w:r>
              <w:rPr>
                <w:rFonts w:ascii="Verdana" w:hAnsi="Verdana"/>
                <w:sz w:val="15"/>
                <w:szCs w:val="15"/>
              </w:rPr>
              <w:t>4</w:t>
            </w:r>
            <w:proofErr w:type="gramEnd"/>
            <w:r>
              <w:rPr>
                <w:rFonts w:ascii="Verdana" w:hAnsi="Verdana"/>
                <w:sz w:val="15"/>
                <w:szCs w:val="15"/>
              </w:rPr>
              <w:t xml:space="preserve"> casas decimais</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6</w:t>
            </w:r>
            <w:proofErr w:type="gramEnd"/>
            <w:r>
              <w:rPr>
                <w:rFonts w:ascii="Verdana" w:hAnsi="Verdana"/>
                <w:bCs/>
                <w:sz w:val="15"/>
                <w:szCs w:val="15"/>
              </w:rPr>
              <w:t>) Qual classe de modelos foi utilizada para o cálculo do VAR reportado na questão anterior?</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xml:space="preserve">Paramétrico/ </w:t>
            </w:r>
            <w:proofErr w:type="gramStart"/>
            <w:r>
              <w:rPr>
                <w:rFonts w:ascii="Verdana" w:hAnsi="Verdana"/>
                <w:sz w:val="15"/>
                <w:szCs w:val="15"/>
              </w:rPr>
              <w:t>Não-paramétrico</w:t>
            </w:r>
            <w:proofErr w:type="gramEnd"/>
            <w:r>
              <w:rPr>
                <w:rFonts w:ascii="Verdana" w:hAnsi="Verdana"/>
                <w:sz w:val="15"/>
                <w:szCs w:val="15"/>
              </w:rPr>
              <w:t>/ Simulação de Monte Carlo</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7</w:t>
            </w:r>
            <w:proofErr w:type="gramEnd"/>
            <w:r>
              <w:rPr>
                <w:rFonts w:ascii="Verdana" w:hAnsi="Verdana"/>
                <w:bCs/>
                <w:sz w:val="15"/>
                <w:szCs w:val="15"/>
              </w:rPr>
              <w:t>) No último dia útil do mês de referência, qual o prazo médio da carteira de títulos do fundo? (em meses (30 dias) e calculado de acordo com a metodologia regulamentada pela RFB)</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 xml:space="preserve">Numérico com </w:t>
            </w:r>
            <w:proofErr w:type="gramStart"/>
            <w:r>
              <w:rPr>
                <w:rFonts w:ascii="Verdana" w:hAnsi="Verdana"/>
                <w:sz w:val="15"/>
                <w:szCs w:val="15"/>
              </w:rPr>
              <w:t>4</w:t>
            </w:r>
            <w:proofErr w:type="gramEnd"/>
            <w:r>
              <w:rPr>
                <w:rFonts w:ascii="Verdana" w:hAnsi="Verdana"/>
                <w:sz w:val="15"/>
                <w:szCs w:val="15"/>
              </w:rPr>
              <w:t xml:space="preserve"> casas decimais</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8</w:t>
            </w:r>
            <w:proofErr w:type="gramEnd"/>
            <w:r>
              <w:rPr>
                <w:rFonts w:ascii="Verdana" w:hAnsi="Verdana"/>
                <w:bCs/>
                <w:sz w:val="15"/>
                <w:szCs w:val="15"/>
              </w:rPr>
              <w:t>) Caso tenha sido realizada, no mês de referência, alguma assembleia geral de cotistas do fundo, relatar resumidamente as principais deliberações aprovadas.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Campo texto - 4.000 caracteres</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9</w:t>
            </w:r>
            <w:proofErr w:type="gramEnd"/>
            <w:r>
              <w:rPr>
                <w:rFonts w:ascii="Verdana" w:hAnsi="Verdana"/>
                <w:bCs/>
                <w:sz w:val="15"/>
                <w:szCs w:val="15"/>
              </w:rPr>
              <w:t>) Total de recursos (em US$) enviados para o exterior para aquisição de ativos - Valor total dos contratos de compra de US$ liquidados no mês.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21"/>
                <w:szCs w:val="21"/>
              </w:rPr>
            </w:pPr>
            <w:r>
              <w:rPr>
                <w:rFonts w:ascii="Verdana" w:hAnsi="Verdana"/>
                <w:sz w:val="15"/>
                <w:szCs w:val="15"/>
              </w:rPr>
              <w:t xml:space="preserve">Numérico com </w:t>
            </w:r>
            <w:proofErr w:type="gramStart"/>
            <w:r>
              <w:rPr>
                <w:rFonts w:ascii="Verdana" w:hAnsi="Verdana"/>
                <w:sz w:val="15"/>
                <w:szCs w:val="15"/>
              </w:rPr>
              <w:t>2</w:t>
            </w:r>
            <w:proofErr w:type="gramEnd"/>
            <w:r>
              <w:rPr>
                <w:rFonts w:ascii="Verdana" w:hAnsi="Verdana"/>
                <w:sz w:val="15"/>
                <w:szCs w:val="15"/>
              </w:rPr>
              <w:t xml:space="preserve"> casas decimais</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bCs/>
                <w:sz w:val="15"/>
                <w:szCs w:val="15"/>
              </w:rPr>
              <w:t>10)</w:t>
            </w:r>
            <w:proofErr w:type="gramEnd"/>
            <w:r>
              <w:rPr>
                <w:rFonts w:ascii="Verdana" w:hAnsi="Verdana"/>
                <w:bCs/>
                <w:sz w:val="15"/>
                <w:szCs w:val="15"/>
              </w:rPr>
              <w:t xml:space="preserve"> Total de recursos (em US$) ingressados no Brasil referente à venda de ativos - Total de contratos de venda de US$ liquidados no mês.</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xml:space="preserve">Numérico com </w:t>
            </w:r>
            <w:proofErr w:type="gramStart"/>
            <w:r>
              <w:rPr>
                <w:rFonts w:ascii="Verdana" w:hAnsi="Verdana"/>
                <w:sz w:val="15"/>
                <w:szCs w:val="15"/>
              </w:rPr>
              <w:t>2</w:t>
            </w:r>
            <w:proofErr w:type="gramEnd"/>
            <w:r>
              <w:rPr>
                <w:rFonts w:ascii="Verdana" w:hAnsi="Verdana"/>
                <w:sz w:val="15"/>
                <w:szCs w:val="15"/>
              </w:rPr>
              <w:t xml:space="preserve"> casas decimais</w:t>
            </w:r>
          </w:p>
        </w:tc>
      </w:tr>
      <w:tr w:rsidR="00B2445D" w:rsidRPr="00B2445D" w:rsidTr="00B2445D">
        <w:trPr>
          <w:trHeight w:val="169"/>
        </w:trPr>
        <w:tc>
          <w:tcPr>
            <w:tcW w:w="2447" w:type="pct"/>
            <w:vMerge w:val="restar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11)</w:t>
            </w:r>
            <w:proofErr w:type="gramEnd"/>
            <w:r>
              <w:rPr>
                <w:rFonts w:ascii="Verdana" w:hAnsi="Verdana"/>
                <w:sz w:val="15"/>
                <w:szCs w:val="15"/>
              </w:rPr>
              <w:t xml:space="preserve"> Considerando os cenários de estresse definidos pela BM&amp;FBOVESPA para os fatores primitivos de risco (FPR) que gerem o pior resultado para o fundo, qual a variação diária percentual esperada para o valor da cota. Especificar quais foram os cenários adotados da BM&amp;FBOVESPA.</w:t>
            </w: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Fator primitivo de risco</w:t>
            </w:r>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Cenário utilizado</w:t>
            </w:r>
          </w:p>
        </w:tc>
        <w:tc>
          <w:tcPr>
            <w:tcW w:w="1005" w:type="pct"/>
            <w:gridSpan w:val="4"/>
            <w:vMerge w:val="restar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duas casas decimais.</w:t>
            </w:r>
          </w:p>
        </w:tc>
      </w:tr>
      <w:tr w:rsidR="00B2445D" w:rsidTr="00B2445D">
        <w:trPr>
          <w:trHeight w:val="1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IBOVESPA</w:t>
            </w:r>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tcPr>
          <w:p w:rsidR="00B2445D" w:rsidRDefault="00B2445D">
            <w:pPr>
              <w:spacing w:line="312" w:lineRule="auto"/>
              <w:ind w:right="141"/>
              <w:jc w:val="both"/>
              <w:rPr>
                <w:rFonts w:ascii="Verdana" w:hAnsi="Verdana"/>
                <w:sz w:val="15"/>
                <w:szCs w:val="15"/>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r>
      <w:tr w:rsidR="00B2445D" w:rsidTr="00B2445D">
        <w:trPr>
          <w:trHeight w:val="1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proofErr w:type="gramStart"/>
            <w:r>
              <w:rPr>
                <w:rFonts w:ascii="Verdana" w:hAnsi="Verdana"/>
                <w:sz w:val="15"/>
                <w:szCs w:val="15"/>
              </w:rPr>
              <w:t>Juros -</w:t>
            </w:r>
            <w:proofErr w:type="spellStart"/>
            <w:r>
              <w:rPr>
                <w:rFonts w:ascii="Verdana" w:hAnsi="Verdana"/>
                <w:sz w:val="15"/>
                <w:szCs w:val="15"/>
              </w:rPr>
              <w:t>Pré</w:t>
            </w:r>
            <w:proofErr w:type="spellEnd"/>
            <w:proofErr w:type="gramEnd"/>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tcPr>
          <w:p w:rsidR="00B2445D" w:rsidRDefault="00B2445D">
            <w:pPr>
              <w:spacing w:line="312" w:lineRule="auto"/>
              <w:ind w:right="141"/>
              <w:jc w:val="both"/>
              <w:rPr>
                <w:rFonts w:ascii="Verdana" w:hAnsi="Verdana"/>
                <w:sz w:val="15"/>
                <w:szCs w:val="15"/>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r>
      <w:tr w:rsidR="00B2445D" w:rsidTr="00B2445D">
        <w:trPr>
          <w:trHeight w:val="1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Cupom Cambial</w:t>
            </w:r>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tcPr>
          <w:p w:rsidR="00B2445D" w:rsidRDefault="00B2445D">
            <w:pPr>
              <w:spacing w:line="312" w:lineRule="auto"/>
              <w:ind w:right="141"/>
              <w:jc w:val="both"/>
              <w:rPr>
                <w:rFonts w:ascii="Verdana" w:hAnsi="Verdana"/>
                <w:sz w:val="15"/>
                <w:szCs w:val="15"/>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r>
      <w:tr w:rsidR="00B2445D" w:rsidTr="00B2445D">
        <w:trPr>
          <w:trHeight w:val="1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Dólar</w:t>
            </w:r>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tcPr>
          <w:p w:rsidR="00B2445D" w:rsidRDefault="00B2445D">
            <w:pPr>
              <w:spacing w:line="312" w:lineRule="auto"/>
              <w:ind w:right="141"/>
              <w:jc w:val="both"/>
              <w:rPr>
                <w:rFonts w:ascii="Verdana" w:hAnsi="Verdana"/>
                <w:sz w:val="15"/>
                <w:szCs w:val="15"/>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r>
      <w:tr w:rsidR="00B2445D" w:rsidTr="00B2445D">
        <w:trPr>
          <w:trHeight w:val="1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740" w:type="pct"/>
            <w:gridSpan w:val="2"/>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ind w:right="141"/>
              <w:jc w:val="center"/>
              <w:rPr>
                <w:rFonts w:ascii="Verdana" w:hAnsi="Verdana"/>
                <w:sz w:val="15"/>
                <w:szCs w:val="15"/>
              </w:rPr>
            </w:pPr>
            <w:r>
              <w:rPr>
                <w:rFonts w:ascii="Verdana" w:hAnsi="Verdana"/>
                <w:sz w:val="15"/>
                <w:szCs w:val="15"/>
              </w:rPr>
              <w:t xml:space="preserve">Outros </w:t>
            </w:r>
            <w:r>
              <w:rPr>
                <w:rFonts w:ascii="Verdana" w:hAnsi="Verdana"/>
                <w:sz w:val="15"/>
                <w:szCs w:val="15"/>
              </w:rPr>
              <w:lastRenderedPageBreak/>
              <w:t>(especificar)</w:t>
            </w:r>
          </w:p>
        </w:tc>
        <w:tc>
          <w:tcPr>
            <w:tcW w:w="809" w:type="pct"/>
            <w:gridSpan w:val="5"/>
            <w:tcBorders>
              <w:top w:val="outset" w:sz="6" w:space="0" w:color="auto"/>
              <w:left w:val="outset" w:sz="6" w:space="0" w:color="auto"/>
              <w:bottom w:val="outset" w:sz="6" w:space="0" w:color="auto"/>
              <w:right w:val="outset" w:sz="6" w:space="0" w:color="auto"/>
            </w:tcBorders>
            <w:shd w:val="clear" w:color="auto" w:fill="FAEFCA"/>
          </w:tcPr>
          <w:p w:rsidR="00B2445D" w:rsidRDefault="00B2445D">
            <w:pPr>
              <w:spacing w:line="312" w:lineRule="auto"/>
              <w:ind w:right="141"/>
              <w:jc w:val="both"/>
              <w:rPr>
                <w:rFonts w:ascii="Verdana" w:hAnsi="Verdana"/>
                <w:sz w:val="15"/>
                <w:szCs w:val="15"/>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lastRenderedPageBreak/>
              <w:t>12)</w:t>
            </w:r>
            <w:proofErr w:type="gramEnd"/>
            <w:r>
              <w:rPr>
                <w:rFonts w:ascii="Verdana" w:hAnsi="Verdana"/>
                <w:sz w:val="15"/>
                <w:szCs w:val="15"/>
              </w:rPr>
              <w:t xml:space="preserve"> Qual a variação diária percentual esperada para o valor da cota do fundo no pior cenário de estresse definido pelo seu administrador.</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duas casas decimais.</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both"/>
              <w:rPr>
                <w:rFonts w:ascii="Verdana" w:hAnsi="Verdana"/>
                <w:sz w:val="15"/>
                <w:szCs w:val="15"/>
              </w:rPr>
            </w:pPr>
            <w:proofErr w:type="gramStart"/>
            <w:r>
              <w:rPr>
                <w:rFonts w:ascii="Verdana" w:hAnsi="Verdana"/>
                <w:sz w:val="15"/>
                <w:szCs w:val="15"/>
              </w:rPr>
              <w:t>13)</w:t>
            </w:r>
            <w:proofErr w:type="gramEnd"/>
            <w:r>
              <w:rPr>
                <w:rFonts w:ascii="Verdana" w:hAnsi="Verdana"/>
                <w:sz w:val="15"/>
                <w:szCs w:val="15"/>
              </w:rPr>
              <w:t xml:space="preserve"> Qual a variação diária percentual esperada para o patrimônio do fundo caso ocorra uma variação negativa de 1% na taxa anual de juros (</w:t>
            </w:r>
            <w:proofErr w:type="spellStart"/>
            <w:r>
              <w:rPr>
                <w:rFonts w:ascii="Verdana" w:hAnsi="Verdana"/>
                <w:sz w:val="15"/>
                <w:szCs w:val="15"/>
              </w:rPr>
              <w:t>pré</w:t>
            </w:r>
            <w:proofErr w:type="spellEnd"/>
            <w:r>
              <w:rPr>
                <w:rFonts w:ascii="Verdana" w:hAnsi="Verdana"/>
                <w:sz w:val="15"/>
                <w:szCs w:val="15"/>
              </w:rPr>
              <w:t>). Considerar o último dia útil do mês de referência.</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 PL numérico com duas casas decimais.</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14)</w:t>
            </w:r>
            <w:proofErr w:type="gramEnd"/>
            <w:r>
              <w:rPr>
                <w:rFonts w:ascii="Verdana" w:hAnsi="Verdana"/>
                <w:sz w:val="15"/>
                <w:szCs w:val="15"/>
              </w:rPr>
              <w:t xml:space="preserve"> Qual a variação diária percentual esperada para o patrimônio do fundo caso ocorra uma variação negativa de 1% na taxa de cambio (US$/Real). Considerar o último dia útil do mês de referência.</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duas casas decimais.</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both"/>
              <w:rPr>
                <w:rFonts w:ascii="Verdana" w:hAnsi="Verdana"/>
                <w:sz w:val="15"/>
                <w:szCs w:val="15"/>
              </w:rPr>
            </w:pPr>
            <w:proofErr w:type="gramStart"/>
            <w:r>
              <w:rPr>
                <w:rFonts w:ascii="Verdana" w:hAnsi="Verdana"/>
                <w:sz w:val="15"/>
                <w:szCs w:val="15"/>
              </w:rPr>
              <w:t>15)</w:t>
            </w:r>
            <w:proofErr w:type="gramEnd"/>
            <w:r>
              <w:rPr>
                <w:rFonts w:ascii="Verdana" w:hAnsi="Verdana"/>
                <w:sz w:val="15"/>
                <w:szCs w:val="15"/>
              </w:rPr>
              <w:t xml:space="preserve"> Qual a variação diária percentual esperada para o patrimônio do fundo caso ocorra uma variação negativa de 1% no preço das ações (IBOVESPA). Considerar o último dia útil do mês de referência.</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 PL numérico com duas casas decimais.</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16)</w:t>
            </w:r>
            <w:proofErr w:type="gramEnd"/>
            <w:r>
              <w:rPr>
                <w:rFonts w:ascii="Verdana" w:hAnsi="Verdana"/>
                <w:sz w:val="15"/>
                <w:szCs w:val="15"/>
              </w:rPr>
              <w:t xml:space="preserve"> Qual a variação diária percentual esperada para o patrimônio do fundo caso ocorra uma variação negativa de 1% no principal fator de risco a que o fundo está exposto, caso não seja nenhum dos 3 citados anteriormente (juros, câmbio, bolsa). Considerar o último dia útil do mês de referência. Informar também qual foi o fator de risco considerado.</w:t>
            </w:r>
          </w:p>
        </w:tc>
        <w:tc>
          <w:tcPr>
            <w:tcW w:w="1372" w:type="pct"/>
            <w:gridSpan w:val="6"/>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Indicar o fator de risco.</w:t>
            </w:r>
          </w:p>
        </w:tc>
        <w:tc>
          <w:tcPr>
            <w:tcW w:w="118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duas casas decimais.</w:t>
            </w:r>
          </w:p>
        </w:tc>
      </w:tr>
      <w:tr w:rsidR="00B2445D" w:rsidTr="00B2445D">
        <w:tc>
          <w:tcPr>
            <w:tcW w:w="2447" w:type="pct"/>
            <w:vMerge w:val="restart"/>
            <w:tcBorders>
              <w:top w:val="outset" w:sz="6" w:space="0" w:color="auto"/>
              <w:left w:val="outset" w:sz="6" w:space="0" w:color="auto"/>
              <w:bottom w:val="nil"/>
              <w:right w:val="outset" w:sz="6" w:space="0" w:color="auto"/>
            </w:tcBorders>
            <w:shd w:val="clear" w:color="auto" w:fill="FFF8DC"/>
            <w:hideMark/>
          </w:tcPr>
          <w:p w:rsidR="00B2445D" w:rsidRDefault="00B2445D">
            <w:pPr>
              <w:spacing w:line="312" w:lineRule="auto"/>
              <w:jc w:val="both"/>
              <w:rPr>
                <w:rFonts w:ascii="Verdana" w:hAnsi="Verdana"/>
                <w:sz w:val="15"/>
                <w:szCs w:val="15"/>
              </w:rPr>
            </w:pPr>
            <w:proofErr w:type="gramStart"/>
            <w:r>
              <w:rPr>
                <w:rFonts w:ascii="Verdana" w:hAnsi="Verdana"/>
                <w:sz w:val="15"/>
                <w:szCs w:val="15"/>
              </w:rPr>
              <w:t>17)</w:t>
            </w:r>
            <w:proofErr w:type="gramEnd"/>
            <w:r>
              <w:rPr>
                <w:rFonts w:ascii="Verdana" w:hAnsi="Verdana"/>
                <w:sz w:val="15"/>
                <w:szCs w:val="15"/>
              </w:rPr>
              <w:t xml:space="preserve"> Qual o valor nocional  total de todos os contratos derivativos negociados em balcão mantidos pelo fundo, em % do patrimônio líquido, conforme tabela (informar valor numérico inteiro, contemplando a soma dos nocionais em módulo).</w:t>
            </w: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Fator de Risco</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proofErr w:type="spellStart"/>
            <w:r>
              <w:rPr>
                <w:rFonts w:ascii="Verdana" w:hAnsi="Verdana"/>
                <w:sz w:val="15"/>
                <w:szCs w:val="15"/>
              </w:rPr>
              <w:t>Long</w:t>
            </w:r>
            <w:proofErr w:type="spellEnd"/>
          </w:p>
        </w:tc>
        <w:tc>
          <w:tcPr>
            <w:tcW w:w="356" w:type="pct"/>
            <w:gridSpan w:val="2"/>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Short</w:t>
            </w:r>
          </w:p>
        </w:tc>
        <w:tc>
          <w:tcPr>
            <w:tcW w:w="465" w:type="pct"/>
            <w:tcBorders>
              <w:top w:val="outset" w:sz="6" w:space="0" w:color="auto"/>
              <w:left w:val="outset" w:sz="6" w:space="0" w:color="auto"/>
              <w:bottom w:val="single" w:sz="4"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4"/>
                <w:szCs w:val="14"/>
              </w:rPr>
            </w:pPr>
            <w:r>
              <w:rPr>
                <w:rFonts w:ascii="Verdana" w:hAnsi="Verdana"/>
                <w:sz w:val="14"/>
                <w:szCs w:val="14"/>
              </w:rPr>
              <w:t>Colateral</w:t>
            </w: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IBOVESPA</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single" w:sz="4"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single" w:sz="4" w:space="0" w:color="auto"/>
              <w:left w:val="single" w:sz="4" w:space="0" w:color="auto"/>
              <w:bottom w:val="nil"/>
              <w:right w:val="single" w:sz="4" w:space="0" w:color="auto"/>
            </w:tcBorders>
            <w:shd w:val="clear" w:color="auto" w:fill="7F7F7F"/>
          </w:tcPr>
          <w:p w:rsidR="00B2445D" w:rsidRDefault="00B2445D">
            <w:pPr>
              <w:spacing w:line="312" w:lineRule="auto"/>
              <w:ind w:right="141"/>
              <w:jc w:val="both"/>
              <w:rPr>
                <w:rFonts w:ascii="Verdana" w:hAnsi="Verdana"/>
                <w:sz w:val="15"/>
                <w:szCs w:val="15"/>
              </w:rPr>
            </w:pP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 xml:space="preserve">Juros - </w:t>
            </w:r>
            <w:proofErr w:type="spellStart"/>
            <w:r>
              <w:rPr>
                <w:rFonts w:ascii="Verdana" w:hAnsi="Verdana"/>
                <w:sz w:val="15"/>
                <w:szCs w:val="15"/>
              </w:rPr>
              <w:t>Pré</w:t>
            </w:r>
            <w:proofErr w:type="spellEnd"/>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single" w:sz="4"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nil"/>
              <w:left w:val="single" w:sz="4" w:space="0" w:color="auto"/>
              <w:bottom w:val="nil"/>
              <w:right w:val="single" w:sz="4" w:space="0" w:color="auto"/>
            </w:tcBorders>
            <w:shd w:val="clear" w:color="auto" w:fill="7F7F7F"/>
          </w:tcPr>
          <w:p w:rsidR="00B2445D" w:rsidRDefault="00B2445D">
            <w:pPr>
              <w:spacing w:line="312" w:lineRule="auto"/>
              <w:ind w:right="141"/>
              <w:jc w:val="both"/>
              <w:rPr>
                <w:rFonts w:ascii="Verdana" w:hAnsi="Verdana"/>
                <w:sz w:val="15"/>
                <w:szCs w:val="15"/>
              </w:rPr>
            </w:pP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Cupom Cambial</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single" w:sz="4"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nil"/>
              <w:left w:val="single" w:sz="4" w:space="0" w:color="auto"/>
              <w:bottom w:val="nil"/>
              <w:right w:val="single" w:sz="4" w:space="0" w:color="auto"/>
            </w:tcBorders>
            <w:shd w:val="clear" w:color="auto" w:fill="7F7F7F"/>
          </w:tcPr>
          <w:p w:rsidR="00B2445D" w:rsidRDefault="00B2445D">
            <w:pPr>
              <w:spacing w:line="312" w:lineRule="auto"/>
              <w:ind w:right="141"/>
              <w:jc w:val="both"/>
              <w:rPr>
                <w:rFonts w:ascii="Verdana" w:hAnsi="Verdana"/>
                <w:sz w:val="15"/>
                <w:szCs w:val="15"/>
              </w:rPr>
            </w:pP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Dólar</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single" w:sz="4"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nil"/>
              <w:left w:val="single" w:sz="4" w:space="0" w:color="auto"/>
              <w:bottom w:val="nil"/>
              <w:right w:val="single" w:sz="4" w:space="0" w:color="auto"/>
            </w:tcBorders>
            <w:shd w:val="clear" w:color="auto" w:fill="7F7F7F"/>
          </w:tcPr>
          <w:p w:rsidR="00B2445D" w:rsidRDefault="00B2445D">
            <w:pPr>
              <w:spacing w:line="312" w:lineRule="auto"/>
              <w:ind w:right="141"/>
              <w:jc w:val="both"/>
              <w:rPr>
                <w:rFonts w:ascii="Verdana" w:hAnsi="Verdana"/>
                <w:sz w:val="15"/>
                <w:szCs w:val="15"/>
              </w:rPr>
            </w:pP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Outros (especificar)</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single" w:sz="4"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nil"/>
              <w:left w:val="single" w:sz="4" w:space="0" w:color="auto"/>
              <w:bottom w:val="single" w:sz="4" w:space="0" w:color="auto"/>
              <w:right w:val="single" w:sz="4" w:space="0" w:color="auto"/>
            </w:tcBorders>
            <w:shd w:val="clear" w:color="auto" w:fill="7F7F7F"/>
          </w:tcPr>
          <w:p w:rsidR="00B2445D" w:rsidRDefault="00B2445D">
            <w:pPr>
              <w:spacing w:line="312" w:lineRule="auto"/>
              <w:ind w:right="141"/>
              <w:jc w:val="both"/>
              <w:rPr>
                <w:rFonts w:ascii="Verdana" w:hAnsi="Verdana"/>
                <w:sz w:val="15"/>
                <w:szCs w:val="15"/>
              </w:rPr>
            </w:pPr>
          </w:p>
        </w:tc>
      </w:tr>
      <w:tr w:rsid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pPr>
              <w:rPr>
                <w:rFonts w:ascii="Verdana" w:hAnsi="Verdana"/>
                <w:sz w:val="15"/>
                <w:szCs w:val="15"/>
              </w:rPr>
            </w:pPr>
          </w:p>
        </w:tc>
        <w:tc>
          <w:tcPr>
            <w:tcW w:w="1372"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center"/>
              <w:rPr>
                <w:rFonts w:ascii="Verdana" w:hAnsi="Verdana"/>
                <w:sz w:val="15"/>
                <w:szCs w:val="15"/>
              </w:rPr>
            </w:pPr>
            <w:r>
              <w:rPr>
                <w:rFonts w:ascii="Verdana" w:hAnsi="Verdana"/>
                <w:sz w:val="15"/>
                <w:szCs w:val="15"/>
              </w:rPr>
              <w:t>Totais</w:t>
            </w:r>
          </w:p>
        </w:tc>
        <w:tc>
          <w:tcPr>
            <w:tcW w:w="360"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356" w:type="pct"/>
            <w:gridSpan w:val="2"/>
            <w:tcBorders>
              <w:top w:val="outset" w:sz="6"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c>
          <w:tcPr>
            <w:tcW w:w="465" w:type="pct"/>
            <w:tcBorders>
              <w:top w:val="single" w:sz="4" w:space="0" w:color="auto"/>
              <w:left w:val="outset" w:sz="6" w:space="0" w:color="auto"/>
              <w:bottom w:val="outset" w:sz="6" w:space="0" w:color="auto"/>
              <w:right w:val="outset" w:sz="6" w:space="0" w:color="auto"/>
            </w:tcBorders>
            <w:shd w:val="clear" w:color="auto" w:fill="FFF8DC"/>
          </w:tcPr>
          <w:p w:rsidR="00B2445D" w:rsidRDefault="00B2445D">
            <w:pPr>
              <w:spacing w:line="312" w:lineRule="auto"/>
              <w:ind w:right="141"/>
              <w:jc w:val="both"/>
              <w:rPr>
                <w:rFonts w:ascii="Verdana" w:hAnsi="Verdana"/>
                <w:sz w:val="15"/>
                <w:szCs w:val="15"/>
              </w:rPr>
            </w:pPr>
          </w:p>
        </w:tc>
      </w:tr>
      <w:tr w:rsidR="00B2445D" w:rsidRPr="00B2445D" w:rsidTr="00B2445D">
        <w:trPr>
          <w:trHeight w:val="305"/>
        </w:trPr>
        <w:tc>
          <w:tcPr>
            <w:tcW w:w="2447" w:type="pct"/>
            <w:vMerge w:val="restar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18)</w:t>
            </w:r>
            <w:proofErr w:type="gramEnd"/>
            <w:r>
              <w:rPr>
                <w:rFonts w:ascii="Verdana" w:hAnsi="Verdana"/>
                <w:sz w:val="15"/>
                <w:szCs w:val="15"/>
              </w:rPr>
              <w:t xml:space="preserve"> Para operações cursadas em mercado de balcão, sem garantia de contraparte central, identifique os 3 maiores comitentes que atuaram como contraparte do fundo, informando o seu CPF/CNPJ, se é parte relacionada ao administrador ou gestor do fundo e o valor total das operações realizadas no mês por contraparte. O termo parte relacionada é aquele do artigo 86, § 1º, </w:t>
            </w:r>
            <w:proofErr w:type="spellStart"/>
            <w:r>
              <w:rPr>
                <w:rFonts w:ascii="Verdana" w:hAnsi="Verdana"/>
                <w:sz w:val="15"/>
                <w:szCs w:val="15"/>
              </w:rPr>
              <w:t>incs</w:t>
            </w:r>
            <w:proofErr w:type="spellEnd"/>
            <w:r>
              <w:rPr>
                <w:rFonts w:ascii="Verdana" w:hAnsi="Verdana"/>
                <w:sz w:val="15"/>
                <w:szCs w:val="15"/>
              </w:rPr>
              <w:t>. II e III, da Instrução CVM nº 409, de 2004.</w:t>
            </w:r>
          </w:p>
        </w:tc>
        <w:tc>
          <w:tcPr>
            <w:tcW w:w="572"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Comitente (CPF/CNPJ)</w:t>
            </w:r>
          </w:p>
        </w:tc>
        <w:tc>
          <w:tcPr>
            <w:tcW w:w="80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118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 PL numérico com uma casa decimal</w:t>
            </w:r>
          </w:p>
        </w:tc>
      </w:tr>
      <w:tr w:rsidR="00B2445D" w:rsidRPr="00B2445D" w:rsidTr="00B2445D">
        <w:trPr>
          <w:trHeight w:val="3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572"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Comitente (CPF/CNPJ)</w:t>
            </w:r>
          </w:p>
        </w:tc>
        <w:tc>
          <w:tcPr>
            <w:tcW w:w="80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118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 PL numérico com uma casa decimal</w:t>
            </w:r>
          </w:p>
        </w:tc>
      </w:tr>
      <w:tr w:rsidR="00B2445D" w:rsidRPr="00B2445D" w:rsidTr="00B2445D">
        <w:trPr>
          <w:trHeight w:val="3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45D" w:rsidRDefault="00B2445D">
            <w:pPr>
              <w:rPr>
                <w:rFonts w:ascii="Verdana" w:hAnsi="Verdana"/>
                <w:sz w:val="21"/>
                <w:szCs w:val="21"/>
              </w:rPr>
            </w:pPr>
          </w:p>
        </w:tc>
        <w:tc>
          <w:tcPr>
            <w:tcW w:w="572"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Comitente (CPF/CNPJ)</w:t>
            </w:r>
          </w:p>
        </w:tc>
        <w:tc>
          <w:tcPr>
            <w:tcW w:w="80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1180" w:type="pct"/>
            <w:gridSpan w:val="5"/>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15"/>
                <w:szCs w:val="15"/>
              </w:rPr>
            </w:pPr>
            <w:r>
              <w:rPr>
                <w:rFonts w:ascii="Verdana" w:hAnsi="Verdana"/>
                <w:sz w:val="15"/>
                <w:szCs w:val="15"/>
              </w:rPr>
              <w:t>% PL numérico com uma casa decimal</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19)</w:t>
            </w:r>
            <w:proofErr w:type="gramEnd"/>
            <w:r>
              <w:rPr>
                <w:rFonts w:ascii="Verdana" w:hAnsi="Verdana"/>
                <w:sz w:val="15"/>
                <w:szCs w:val="15"/>
              </w:rPr>
              <w:t xml:space="preserve"> Total dos ativos (em % do PL) em estoque de emissão de partes relacionadas. O termo parte relacionada é aquele do artigo 86, § 1º, </w:t>
            </w:r>
            <w:proofErr w:type="spellStart"/>
            <w:r>
              <w:rPr>
                <w:rFonts w:ascii="Verdana" w:hAnsi="Verdana"/>
                <w:sz w:val="15"/>
                <w:szCs w:val="15"/>
              </w:rPr>
              <w:t>incs</w:t>
            </w:r>
            <w:proofErr w:type="spellEnd"/>
            <w:r>
              <w:rPr>
                <w:rFonts w:ascii="Verdana" w:hAnsi="Verdana"/>
                <w:sz w:val="15"/>
                <w:szCs w:val="15"/>
              </w:rPr>
              <w:t>. II e III, da Instrução CVM nº 409, de 2004.</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uma casa decimal</w:t>
            </w:r>
          </w:p>
        </w:tc>
      </w:tr>
      <w:tr w:rsidR="00B2445D" w:rsidRPr="00B2445D" w:rsidTr="00B2445D">
        <w:tc>
          <w:tcPr>
            <w:tcW w:w="2447" w:type="pct"/>
            <w:vMerge w:val="restart"/>
            <w:tcBorders>
              <w:top w:val="outset" w:sz="6" w:space="0" w:color="auto"/>
              <w:left w:val="outset" w:sz="6" w:space="0" w:color="auto"/>
              <w:bottom w:val="nil"/>
              <w:right w:val="outset" w:sz="6" w:space="0" w:color="auto"/>
            </w:tcBorders>
            <w:shd w:val="clear" w:color="auto" w:fill="FFF8DC"/>
            <w:hideMark/>
          </w:tcPr>
          <w:p w:rsidR="00B2445D" w:rsidRDefault="00B2445D">
            <w:pPr>
              <w:spacing w:line="312" w:lineRule="auto"/>
              <w:ind w:right="141"/>
              <w:jc w:val="both"/>
            </w:pPr>
            <w:proofErr w:type="gramStart"/>
            <w:r>
              <w:rPr>
                <w:rFonts w:ascii="Verdana" w:hAnsi="Verdana"/>
                <w:sz w:val="15"/>
                <w:szCs w:val="15"/>
              </w:rPr>
              <w:t>20)</w:t>
            </w:r>
            <w:proofErr w:type="gramEnd"/>
            <w:r>
              <w:rPr>
                <w:rFonts w:ascii="Verdana" w:hAnsi="Verdana"/>
                <w:sz w:val="15"/>
                <w:szCs w:val="15"/>
              </w:rPr>
              <w:t xml:space="preserve"> Relacionar os 3 maiores emissores de títulos de crédito privado que o fundo é credor, informando o CNPJ/CPF do </w:t>
            </w:r>
            <w:r>
              <w:rPr>
                <w:rFonts w:ascii="Verdana" w:hAnsi="Verdana"/>
                <w:sz w:val="15"/>
                <w:szCs w:val="15"/>
              </w:rPr>
              <w:lastRenderedPageBreak/>
              <w:t xml:space="preserve">emissor, se é parte relacionada ao administrador ou gestor do fundo, e o valor total aplicado pelo fundo, em % do seu patrimônio líquido. Considerar como de um mesmo emissor os ativos emitidos por partes relacionadas de um mesmo grupo econômico (informar CNPJ/CPF do emissor mais representativo). O termo parte relacionada é aquele do artigo 86, § 1º, </w:t>
            </w:r>
            <w:proofErr w:type="spellStart"/>
            <w:r>
              <w:rPr>
                <w:rFonts w:ascii="Verdana" w:hAnsi="Verdana"/>
                <w:sz w:val="15"/>
                <w:szCs w:val="15"/>
              </w:rPr>
              <w:t>incs</w:t>
            </w:r>
            <w:proofErr w:type="spellEnd"/>
            <w:r>
              <w:rPr>
                <w:rFonts w:ascii="Verdana" w:hAnsi="Verdana"/>
                <w:sz w:val="15"/>
                <w:szCs w:val="15"/>
              </w:rPr>
              <w:t>. II e III, da Instrução CVM nº 409, de 2004.</w:t>
            </w:r>
          </w:p>
        </w:tc>
        <w:tc>
          <w:tcPr>
            <w:tcW w:w="873" w:type="pct"/>
            <w:gridSpan w:val="3"/>
            <w:tcBorders>
              <w:top w:val="outset" w:sz="6" w:space="0" w:color="auto"/>
              <w:left w:val="outset" w:sz="6" w:space="0" w:color="auto"/>
              <w:bottom w:val="outset" w:sz="6"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lastRenderedPageBreak/>
              <w:t>Emissor (CPF/CNPJ)</w:t>
            </w:r>
          </w:p>
        </w:tc>
        <w:tc>
          <w:tcPr>
            <w:tcW w:w="900" w:type="pct"/>
            <w:gridSpan w:val="6"/>
            <w:tcBorders>
              <w:top w:val="single" w:sz="4" w:space="0" w:color="auto"/>
              <w:left w:val="single" w:sz="4" w:space="0" w:color="auto"/>
              <w:bottom w:val="single" w:sz="4"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780" w:type="pct"/>
            <w:gridSpan w:val="2"/>
            <w:tcBorders>
              <w:top w:val="outset" w:sz="6" w:space="0" w:color="auto"/>
              <w:left w:val="single" w:sz="4" w:space="0" w:color="auto"/>
              <w:bottom w:val="nil"/>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 xml:space="preserve">% PL numérico com uma casa </w:t>
            </w:r>
            <w:r>
              <w:rPr>
                <w:rFonts w:ascii="Verdana" w:hAnsi="Verdana"/>
                <w:sz w:val="15"/>
                <w:szCs w:val="15"/>
              </w:rPr>
              <w:lastRenderedPageBreak/>
              <w:t>decimal</w:t>
            </w:r>
          </w:p>
        </w:tc>
      </w:tr>
      <w:tr w:rsidR="00B2445D" w:rsidRP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tc>
        <w:tc>
          <w:tcPr>
            <w:tcW w:w="873" w:type="pct"/>
            <w:gridSpan w:val="3"/>
            <w:tcBorders>
              <w:top w:val="outset" w:sz="6" w:space="0" w:color="auto"/>
              <w:left w:val="outset" w:sz="6" w:space="0" w:color="auto"/>
              <w:bottom w:val="outset" w:sz="6"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Emissor (CPF/CNPJ)</w:t>
            </w:r>
          </w:p>
        </w:tc>
        <w:tc>
          <w:tcPr>
            <w:tcW w:w="900" w:type="pct"/>
            <w:gridSpan w:val="6"/>
            <w:tcBorders>
              <w:top w:val="single" w:sz="4" w:space="0" w:color="auto"/>
              <w:left w:val="single" w:sz="4" w:space="0" w:color="auto"/>
              <w:bottom w:val="single" w:sz="4"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780" w:type="pct"/>
            <w:gridSpan w:val="2"/>
            <w:tcBorders>
              <w:top w:val="nil"/>
              <w:left w:val="single" w:sz="4" w:space="0" w:color="auto"/>
              <w:bottom w:val="nil"/>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 PL numérico com uma casa decimal</w:t>
            </w:r>
          </w:p>
        </w:tc>
      </w:tr>
      <w:tr w:rsidR="00B2445D" w:rsidRPr="00B2445D" w:rsidTr="00B2445D">
        <w:tc>
          <w:tcPr>
            <w:tcW w:w="0" w:type="auto"/>
            <w:vMerge/>
            <w:tcBorders>
              <w:top w:val="outset" w:sz="6" w:space="0" w:color="auto"/>
              <w:left w:val="outset" w:sz="6" w:space="0" w:color="auto"/>
              <w:bottom w:val="nil"/>
              <w:right w:val="outset" w:sz="6" w:space="0" w:color="auto"/>
            </w:tcBorders>
            <w:vAlign w:val="center"/>
            <w:hideMark/>
          </w:tcPr>
          <w:p w:rsidR="00B2445D" w:rsidRDefault="00B2445D"/>
        </w:tc>
        <w:tc>
          <w:tcPr>
            <w:tcW w:w="873" w:type="pct"/>
            <w:gridSpan w:val="3"/>
            <w:tcBorders>
              <w:top w:val="outset" w:sz="6" w:space="0" w:color="auto"/>
              <w:left w:val="outset" w:sz="6" w:space="0" w:color="auto"/>
              <w:bottom w:val="outset" w:sz="6"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Emissor (CPF/CNPJ)</w:t>
            </w:r>
          </w:p>
        </w:tc>
        <w:tc>
          <w:tcPr>
            <w:tcW w:w="900" w:type="pct"/>
            <w:gridSpan w:val="6"/>
            <w:tcBorders>
              <w:top w:val="single" w:sz="4" w:space="0" w:color="auto"/>
              <w:left w:val="single" w:sz="4" w:space="0" w:color="auto"/>
              <w:bottom w:val="single" w:sz="4" w:space="0" w:color="auto"/>
              <w:right w:val="single" w:sz="4"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Parte relacionada (S/N)</w:t>
            </w:r>
          </w:p>
        </w:tc>
        <w:tc>
          <w:tcPr>
            <w:tcW w:w="780" w:type="pct"/>
            <w:gridSpan w:val="2"/>
            <w:tcBorders>
              <w:top w:val="nil"/>
              <w:left w:val="single" w:sz="4" w:space="0" w:color="auto"/>
              <w:bottom w:val="outset" w:sz="6" w:space="0" w:color="auto"/>
              <w:right w:val="outset" w:sz="6" w:space="0" w:color="auto"/>
            </w:tcBorders>
            <w:shd w:val="clear" w:color="auto" w:fill="FFF8DC"/>
            <w:hideMark/>
          </w:tcPr>
          <w:p w:rsidR="00B2445D" w:rsidRDefault="00B2445D">
            <w:pPr>
              <w:spacing w:line="312" w:lineRule="auto"/>
              <w:jc w:val="center"/>
              <w:rPr>
                <w:rFonts w:ascii="Verdana" w:hAnsi="Verdana"/>
                <w:sz w:val="15"/>
                <w:szCs w:val="15"/>
              </w:rPr>
            </w:pPr>
            <w:r>
              <w:rPr>
                <w:rFonts w:ascii="Verdana" w:hAnsi="Verdana"/>
                <w:sz w:val="15"/>
                <w:szCs w:val="15"/>
              </w:rPr>
              <w:t>% PL numérico com uma casa decimal</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21)</w:t>
            </w:r>
            <w:proofErr w:type="gramEnd"/>
            <w:r>
              <w:rPr>
                <w:rFonts w:ascii="Verdana" w:hAnsi="Verdana"/>
                <w:sz w:val="15"/>
                <w:szCs w:val="15"/>
              </w:rPr>
              <w:t xml:space="preserve"> Total dos ativos de crédito privado (em % do PL) em estoque.</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 PL numérico com uma casa decimal</w:t>
            </w:r>
          </w:p>
        </w:tc>
      </w:tr>
      <w:tr w:rsidR="00B2445D" w:rsidTr="00B2445D">
        <w:tc>
          <w:tcPr>
            <w:tcW w:w="2447" w:type="pct"/>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both"/>
              <w:rPr>
                <w:rFonts w:ascii="Verdana" w:hAnsi="Verdana"/>
                <w:sz w:val="21"/>
                <w:szCs w:val="21"/>
              </w:rPr>
            </w:pPr>
            <w:proofErr w:type="gramStart"/>
            <w:r>
              <w:rPr>
                <w:rFonts w:ascii="Verdana" w:hAnsi="Verdana"/>
                <w:sz w:val="15"/>
                <w:szCs w:val="15"/>
              </w:rPr>
              <w:t>22)</w:t>
            </w:r>
            <w:proofErr w:type="gramEnd"/>
            <w:r>
              <w:rPr>
                <w:rFonts w:ascii="Verdana" w:hAnsi="Verdana"/>
                <w:sz w:val="15"/>
                <w:szCs w:val="15"/>
              </w:rPr>
              <w:t xml:space="preserve"> Caso o fundo cobre taxa de performance, informar se é vedada no regulamento a cobrança de taxa de performance quando o valor da cota do fundo for inferior ao seu valor por ocasião da última cobrança efetuada, na forma do disposto no § 2º do art. 62 da Instrução CVM nº 409, de 2004.</w:t>
            </w:r>
          </w:p>
        </w:tc>
        <w:tc>
          <w:tcPr>
            <w:tcW w:w="2553" w:type="pct"/>
            <w:gridSpan w:val="11"/>
            <w:tcBorders>
              <w:top w:val="outset" w:sz="6" w:space="0" w:color="auto"/>
              <w:left w:val="outset" w:sz="6" w:space="0" w:color="auto"/>
              <w:bottom w:val="outset" w:sz="6" w:space="0" w:color="auto"/>
              <w:right w:val="outset" w:sz="6" w:space="0" w:color="auto"/>
            </w:tcBorders>
            <w:shd w:val="clear" w:color="auto" w:fill="FAEFCA"/>
            <w:hideMark/>
          </w:tcPr>
          <w:p w:rsidR="00B2445D" w:rsidRDefault="00B2445D">
            <w:pPr>
              <w:spacing w:line="312" w:lineRule="auto"/>
              <w:jc w:val="center"/>
              <w:rPr>
                <w:rFonts w:ascii="Verdana" w:hAnsi="Verdana"/>
                <w:sz w:val="21"/>
                <w:szCs w:val="21"/>
              </w:rPr>
            </w:pPr>
            <w:r>
              <w:rPr>
                <w:rFonts w:ascii="Verdana" w:hAnsi="Verdana"/>
                <w:sz w:val="15"/>
                <w:szCs w:val="15"/>
              </w:rPr>
              <w:t>(S/N)</w:t>
            </w:r>
          </w:p>
        </w:tc>
      </w:tr>
      <w:tr w:rsidR="00B2445D" w:rsidRPr="00B2445D" w:rsidTr="00B2445D">
        <w:tc>
          <w:tcPr>
            <w:tcW w:w="2447" w:type="pct"/>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both"/>
              <w:rPr>
                <w:rFonts w:ascii="Verdana" w:hAnsi="Verdana"/>
                <w:sz w:val="15"/>
                <w:szCs w:val="15"/>
              </w:rPr>
            </w:pPr>
            <w:proofErr w:type="gramStart"/>
            <w:r>
              <w:rPr>
                <w:rFonts w:ascii="Verdana" w:hAnsi="Verdana"/>
                <w:sz w:val="15"/>
                <w:szCs w:val="15"/>
              </w:rPr>
              <w:t>23)</w:t>
            </w:r>
            <w:proofErr w:type="gramEnd"/>
            <w:r>
              <w:rPr>
                <w:rFonts w:ascii="Verdana" w:hAnsi="Verdana"/>
                <w:sz w:val="15"/>
                <w:szCs w:val="15"/>
              </w:rPr>
              <w:t xml:space="preserve"> No caso de a resposta à pergunta anterior ser afirmativa, informar a data e o valor da cota do fundo quando da última cobrança de performance efetuada.</w:t>
            </w:r>
          </w:p>
        </w:tc>
        <w:tc>
          <w:tcPr>
            <w:tcW w:w="1216" w:type="pct"/>
            <w:gridSpan w:val="5"/>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rPr>
                <w:rFonts w:ascii="Verdana" w:hAnsi="Verdana"/>
                <w:sz w:val="15"/>
                <w:szCs w:val="15"/>
              </w:rPr>
            </w:pPr>
            <w:r>
              <w:rPr>
                <w:rFonts w:ascii="Verdana" w:hAnsi="Verdana"/>
                <w:sz w:val="15"/>
                <w:szCs w:val="15"/>
              </w:rPr>
              <w:t xml:space="preserve">Data no formato </w:t>
            </w:r>
            <w:proofErr w:type="spellStart"/>
            <w:r>
              <w:rPr>
                <w:rFonts w:ascii="Verdana" w:hAnsi="Verdana"/>
                <w:sz w:val="15"/>
                <w:szCs w:val="15"/>
              </w:rPr>
              <w:t>dd</w:t>
            </w:r>
            <w:proofErr w:type="spellEnd"/>
            <w:r>
              <w:rPr>
                <w:rFonts w:ascii="Verdana" w:hAnsi="Verdana"/>
                <w:sz w:val="15"/>
                <w:szCs w:val="15"/>
              </w:rPr>
              <w:t>/mm/</w:t>
            </w:r>
            <w:proofErr w:type="spellStart"/>
            <w:r>
              <w:rPr>
                <w:rFonts w:ascii="Verdana" w:hAnsi="Verdana"/>
                <w:sz w:val="15"/>
                <w:szCs w:val="15"/>
              </w:rPr>
              <w:t>aaaa</w:t>
            </w:r>
            <w:proofErr w:type="spellEnd"/>
            <w:r>
              <w:rPr>
                <w:rFonts w:ascii="Verdana" w:hAnsi="Verdana"/>
                <w:sz w:val="15"/>
                <w:szCs w:val="15"/>
              </w:rPr>
              <w:t>.</w:t>
            </w:r>
          </w:p>
        </w:tc>
        <w:tc>
          <w:tcPr>
            <w:tcW w:w="1337" w:type="pct"/>
            <w:gridSpan w:val="6"/>
            <w:tcBorders>
              <w:top w:val="outset" w:sz="6" w:space="0" w:color="auto"/>
              <w:left w:val="outset" w:sz="6" w:space="0" w:color="auto"/>
              <w:bottom w:val="outset" w:sz="6" w:space="0" w:color="auto"/>
              <w:right w:val="outset" w:sz="6" w:space="0" w:color="auto"/>
            </w:tcBorders>
            <w:shd w:val="clear" w:color="auto" w:fill="FFF8DC"/>
            <w:hideMark/>
          </w:tcPr>
          <w:p w:rsidR="00B2445D" w:rsidRDefault="00B2445D">
            <w:pPr>
              <w:spacing w:line="312" w:lineRule="auto"/>
              <w:ind w:right="141"/>
              <w:jc w:val="both"/>
              <w:rPr>
                <w:rFonts w:ascii="Verdana" w:hAnsi="Verdana"/>
                <w:sz w:val="15"/>
                <w:szCs w:val="15"/>
              </w:rPr>
            </w:pPr>
            <w:r>
              <w:rPr>
                <w:rFonts w:ascii="Verdana" w:hAnsi="Verdana"/>
                <w:sz w:val="15"/>
                <w:szCs w:val="15"/>
              </w:rPr>
              <w:t>Valor da cota, numérico com cinco casas decimais.</w:t>
            </w:r>
          </w:p>
        </w:tc>
      </w:tr>
    </w:tbl>
    <w:p w:rsidR="00B2445D" w:rsidRDefault="00B2445D" w:rsidP="00B2445D">
      <w:pPr>
        <w:pStyle w:val="Title"/>
        <w:spacing w:line="312" w:lineRule="auto"/>
        <w:ind w:firstLine="567"/>
        <w:jc w:val="both"/>
        <w:rPr>
          <w:b w:val="0"/>
          <w:bCs w:val="0"/>
        </w:rPr>
      </w:pPr>
    </w:p>
    <w:p w:rsidR="00B2445D" w:rsidRDefault="00B2445D" w:rsidP="00B2445D">
      <w:pPr>
        <w:pStyle w:val="Title"/>
        <w:spacing w:line="312" w:lineRule="auto"/>
      </w:pPr>
      <w:r>
        <w:rPr>
          <w:rFonts w:ascii="Verdana" w:eastAsia="Calibri" w:hAnsi="Verdana"/>
          <w:bCs w:val="0"/>
          <w:sz w:val="15"/>
          <w:szCs w:val="15"/>
        </w:rPr>
        <w:t>Nota relativa aos FIC-FI</w:t>
      </w:r>
      <w:r>
        <w:rPr>
          <w:rFonts w:ascii="Verdana" w:eastAsia="Calibri" w:hAnsi="Verdana"/>
          <w:b w:val="0"/>
          <w:bCs w:val="0"/>
          <w:sz w:val="15"/>
          <w:szCs w:val="15"/>
        </w:rPr>
        <w:t xml:space="preserve">: As questões 5, 6 e 11 a 16 não precisam ser respondidas pelos administradores dos fundos de investimento em cotas que atendam o disposto no </w:t>
      </w:r>
      <w:r>
        <w:rPr>
          <w:rFonts w:ascii="Verdana" w:eastAsia="Calibri" w:hAnsi="Verdana"/>
          <w:bCs w:val="0"/>
          <w:sz w:val="15"/>
          <w:szCs w:val="15"/>
        </w:rPr>
        <w:t>caput</w:t>
      </w:r>
      <w:r>
        <w:rPr>
          <w:rFonts w:ascii="Verdana" w:eastAsia="Calibri" w:hAnsi="Verdana"/>
          <w:b w:val="0"/>
          <w:bCs w:val="0"/>
          <w:sz w:val="15"/>
          <w:szCs w:val="15"/>
        </w:rPr>
        <w:t xml:space="preserve"> do art. 115-A da Instrução CVM nº 409, de </w:t>
      </w:r>
      <w:proofErr w:type="gramStart"/>
      <w:r>
        <w:rPr>
          <w:rFonts w:ascii="Verdana" w:eastAsia="Calibri" w:hAnsi="Verdana"/>
          <w:b w:val="0"/>
          <w:bCs w:val="0"/>
          <w:sz w:val="15"/>
          <w:szCs w:val="15"/>
        </w:rPr>
        <w:t>2004</w:t>
      </w:r>
      <w:proofErr w:type="gramEnd"/>
    </w:p>
    <w:p w:rsidR="00C921A3" w:rsidRDefault="00C921A3"/>
    <w:sectPr w:rsidR="00C921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5D" w:rsidRDefault="00B2445D" w:rsidP="00B2445D">
      <w:r>
        <w:separator/>
      </w:r>
    </w:p>
  </w:endnote>
  <w:endnote w:type="continuationSeparator" w:id="0">
    <w:p w:rsidR="00B2445D" w:rsidRDefault="00B2445D" w:rsidP="00B2445D">
      <w:r>
        <w:continuationSeparator/>
      </w:r>
    </w:p>
  </w:endnote>
  <w:endnote w:id="1">
    <w:p w:rsidR="00B2445D" w:rsidRDefault="00B2445D" w:rsidP="00B2445D">
      <w:pPr>
        <w:spacing w:line="312" w:lineRule="auto"/>
        <w:ind w:left="142"/>
        <w:jc w:val="both"/>
        <w:rPr>
          <w:color w:val="000000"/>
        </w:rPr>
      </w:pPr>
      <w:r>
        <w:rPr>
          <w:color w:val="000000"/>
        </w:rPr>
        <w:t>INSTRUÇÕES DE PREENCHIMENTO</w:t>
      </w:r>
    </w:p>
    <w:p w:rsidR="00B2445D" w:rsidRDefault="00B2445D" w:rsidP="00B2445D">
      <w:pPr>
        <w:spacing w:line="312" w:lineRule="auto"/>
        <w:ind w:left="142"/>
        <w:jc w:val="both"/>
        <w:rPr>
          <w:color w:val="000000"/>
        </w:rPr>
      </w:pPr>
    </w:p>
    <w:p w:rsidR="00B2445D" w:rsidRDefault="00B2445D" w:rsidP="00B2445D">
      <w:pPr>
        <w:pStyle w:val="EndnoteText"/>
        <w:jc w:val="both"/>
      </w:pPr>
      <w:r>
        <w:rPr>
          <w:rStyle w:val="EndnoteReference"/>
        </w:rPr>
        <w:endnoteRef/>
      </w:r>
      <w:r>
        <w:t xml:space="preserve"> O nome completo do fundo e seu CNPJ deverão constar do rodapé de todas as páginas da lâmina.</w:t>
      </w:r>
    </w:p>
  </w:endnote>
  <w:endnote w:id="2">
    <w:p w:rsidR="00B2445D" w:rsidRDefault="00B2445D" w:rsidP="00B2445D">
      <w:pPr>
        <w:pStyle w:val="EndnoteText"/>
        <w:jc w:val="both"/>
      </w:pPr>
      <w:r>
        <w:rPr>
          <w:rStyle w:val="EndnoteReference"/>
        </w:rPr>
        <w:endnoteRef/>
      </w:r>
      <w:r>
        <w:t xml:space="preserve"> </w:t>
      </w:r>
      <w:r>
        <w:rPr>
          <w:color w:val="0D0D0D"/>
        </w:rPr>
        <w:t>Por exemplo: (i) investir por longo/curto prazo; (</w:t>
      </w:r>
      <w:proofErr w:type="spellStart"/>
      <w:proofErr w:type="gramStart"/>
      <w:r>
        <w:rPr>
          <w:color w:val="0D0D0D"/>
        </w:rPr>
        <w:t>ii</w:t>
      </w:r>
      <w:proofErr w:type="spellEnd"/>
      <w:proofErr w:type="gramEnd"/>
      <w:r>
        <w:rPr>
          <w:color w:val="0D0D0D"/>
        </w:rPr>
        <w:t>) preservar seu capital contra inflação; (</w:t>
      </w:r>
      <w:proofErr w:type="spellStart"/>
      <w:r>
        <w:rPr>
          <w:color w:val="0D0D0D"/>
        </w:rPr>
        <w:t>iii</w:t>
      </w:r>
      <w:proofErr w:type="spellEnd"/>
      <w:r>
        <w:rPr>
          <w:color w:val="0D0D0D"/>
        </w:rPr>
        <w:t>) ampliar seu capital e aceitem perdas; ou (</w:t>
      </w:r>
      <w:proofErr w:type="spellStart"/>
      <w:r>
        <w:rPr>
          <w:color w:val="0D0D0D"/>
        </w:rPr>
        <w:t>iv</w:t>
      </w:r>
      <w:proofErr w:type="spellEnd"/>
      <w:r>
        <w:rPr>
          <w:color w:val="0D0D0D"/>
        </w:rPr>
        <w:t>) investir no setor [●].</w:t>
      </w:r>
    </w:p>
  </w:endnote>
  <w:endnote w:id="3">
    <w:p w:rsidR="00B2445D" w:rsidRDefault="00B2445D" w:rsidP="00B2445D">
      <w:pPr>
        <w:pStyle w:val="EndnoteText"/>
        <w:jc w:val="both"/>
      </w:pPr>
      <w:r>
        <w:rPr>
          <w:rStyle w:val="EndnoteReference"/>
        </w:rPr>
        <w:endnoteRef/>
      </w:r>
      <w:r>
        <w:t xml:space="preserve"> Por exemplo: somente aceita aplicações de investidores pessoas jurídicas.</w:t>
      </w:r>
    </w:p>
  </w:endnote>
  <w:endnote w:id="4">
    <w:p w:rsidR="00B2445D" w:rsidRDefault="00B2445D" w:rsidP="00B2445D">
      <w:pPr>
        <w:pStyle w:val="EndnoteText"/>
        <w:jc w:val="both"/>
      </w:pPr>
      <w:r>
        <w:rPr>
          <w:rStyle w:val="EndnoteReference"/>
        </w:rPr>
        <w:endnoteRef/>
      </w:r>
      <w:r>
        <w:t xml:space="preserve"> </w:t>
      </w:r>
      <w:r>
        <w:rPr>
          <w:color w:val="0D0D0D"/>
        </w:rPr>
        <w:t>Por exemplo: (i) acompanhar o CDI; (</w:t>
      </w:r>
      <w:proofErr w:type="spellStart"/>
      <w:proofErr w:type="gramStart"/>
      <w:r>
        <w:rPr>
          <w:color w:val="0D0D0D"/>
        </w:rPr>
        <w:t>ii</w:t>
      </w:r>
      <w:proofErr w:type="spellEnd"/>
      <w:proofErr w:type="gramEnd"/>
      <w:r>
        <w:rPr>
          <w:color w:val="0D0D0D"/>
        </w:rPr>
        <w:t>) acompanhar o IBOVESPA; (</w:t>
      </w:r>
      <w:proofErr w:type="spellStart"/>
      <w:r>
        <w:rPr>
          <w:color w:val="0D0D0D"/>
        </w:rPr>
        <w:t>iii</w:t>
      </w:r>
      <w:proofErr w:type="spellEnd"/>
      <w:r>
        <w:rPr>
          <w:color w:val="0D0D0D"/>
        </w:rPr>
        <w:t>) oferecer rentabilidade superior à do IBOVESPA no longo prazo; ou (</w:t>
      </w:r>
      <w:proofErr w:type="spellStart"/>
      <w:r>
        <w:rPr>
          <w:color w:val="0D0D0D"/>
        </w:rPr>
        <w:t>iv</w:t>
      </w:r>
      <w:proofErr w:type="spellEnd"/>
      <w:r>
        <w:rPr>
          <w:color w:val="0D0D0D"/>
        </w:rPr>
        <w:t>) acompanhar o desempenho das ações das companhias do setor [●].</w:t>
      </w:r>
    </w:p>
  </w:endnote>
  <w:endnote w:id="5">
    <w:p w:rsidR="00B2445D" w:rsidRDefault="00B2445D" w:rsidP="00B2445D">
      <w:pPr>
        <w:pStyle w:val="EndnoteText"/>
        <w:jc w:val="both"/>
      </w:pPr>
      <w:r>
        <w:rPr>
          <w:rStyle w:val="EndnoteReference"/>
        </w:rPr>
        <w:endnoteRef/>
      </w:r>
      <w:r>
        <w:t xml:space="preserve"> Deve-se incluir tanto o período de conversão quanto o prazo para o pagamento.</w:t>
      </w:r>
    </w:p>
  </w:endnote>
  <w:endnote w:id="6">
    <w:p w:rsidR="00B2445D" w:rsidRDefault="00B2445D" w:rsidP="00B2445D">
      <w:pPr>
        <w:pStyle w:val="EndnoteText"/>
        <w:jc w:val="both"/>
      </w:pPr>
      <w:r>
        <w:rPr>
          <w:rStyle w:val="EndnoteReference"/>
        </w:rPr>
        <w:endnoteRef/>
      </w:r>
      <w:r>
        <w:t xml:space="preserve"> Item dispensado nas lâminas apresentadas para registro do fundo, nos termos do art. 8º, inciso VIII. </w:t>
      </w:r>
    </w:p>
  </w:endnote>
  <w:endnote w:id="7">
    <w:p w:rsidR="00B2445D" w:rsidRDefault="00B2445D" w:rsidP="00B2445D">
      <w:pPr>
        <w:pStyle w:val="EndnoteText"/>
        <w:jc w:val="both"/>
      </w:pPr>
      <w:r>
        <w:rPr>
          <w:rStyle w:val="EndnoteReference"/>
        </w:rPr>
        <w:endnoteRef/>
      </w:r>
      <w:r>
        <w:t xml:space="preserve"> Quando se tratar de fundo de investimento em cotas – FIC, a informação deve ser dada em relação à carteira dos fundos investidos.</w:t>
      </w:r>
    </w:p>
  </w:endnote>
  <w:endnote w:i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0"/>
        <w:gridCol w:w="5416"/>
      </w:tblGrid>
      <w:tr w:rsidR="00B2445D">
        <w:tc>
          <w:tcPr>
            <w:tcW w:w="0" w:type="auto"/>
            <w:tcBorders>
              <w:top w:val="single" w:sz="4" w:space="0" w:color="000000"/>
              <w:left w:val="single" w:sz="4" w:space="0" w:color="000000"/>
              <w:bottom w:val="single" w:sz="4" w:space="0" w:color="000000"/>
              <w:right w:val="single" w:sz="4" w:space="0" w:color="000000"/>
            </w:tcBorders>
            <w:shd w:val="clear" w:color="auto" w:fill="C6D9F1"/>
            <w:hideMark/>
          </w:tcPr>
          <w:p w:rsidR="00B2445D" w:rsidRDefault="00B2445D">
            <w:pPr>
              <w:pStyle w:val="EndnoteText"/>
              <w:jc w:val="both"/>
            </w:pPr>
            <w:r>
              <w:rPr>
                <w:rStyle w:val="EndnoteReference"/>
              </w:rPr>
              <w:endnoteRef/>
            </w:r>
            <w:r>
              <w:t xml:space="preserve"> Para efeito de preenchimento, as espécies de ativos </w:t>
            </w:r>
            <w:proofErr w:type="spellStart"/>
            <w:proofErr w:type="gramStart"/>
            <w:r>
              <w:t>são:</w:t>
            </w:r>
            <w:proofErr w:type="gramEnd"/>
            <w:r>
              <w:t>Espécie</w:t>
            </w:r>
            <w:proofErr w:type="spellEnd"/>
            <w:r>
              <w:t xml:space="preserve"> de ativo</w:t>
            </w:r>
          </w:p>
        </w:tc>
        <w:tc>
          <w:tcPr>
            <w:tcW w:w="0" w:type="auto"/>
            <w:tcBorders>
              <w:top w:val="single" w:sz="4" w:space="0" w:color="000000"/>
              <w:left w:val="single" w:sz="4" w:space="0" w:color="000000"/>
              <w:bottom w:val="single" w:sz="4" w:space="0" w:color="000000"/>
              <w:right w:val="single" w:sz="4" w:space="0" w:color="000000"/>
            </w:tcBorders>
            <w:shd w:val="clear" w:color="auto" w:fill="C6D9F1"/>
            <w:hideMark/>
          </w:tcPr>
          <w:p w:rsidR="00B2445D" w:rsidRDefault="00B2445D">
            <w:pPr>
              <w:pStyle w:val="EndnoteText"/>
              <w:jc w:val="both"/>
            </w:pPr>
            <w:r>
              <w:t>Descrição</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Títulos públicos federais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 xml:space="preserve">LTN; LFT; todas as séries de </w:t>
            </w:r>
            <w:proofErr w:type="gramStart"/>
            <w:r>
              <w:rPr>
                <w:color w:val="000000"/>
              </w:rPr>
              <w:t>NTN</w:t>
            </w:r>
            <w:proofErr w:type="gramEnd"/>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Operações compromissadas lastreadas em títulos públicos federais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Operações de compra ou venda de ativos pelo fundo com garantia de recompra ou revenda pelo vendedor</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Operações compromissadas lastreadas em títulos privados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rPr>
                <w:color w:val="000000"/>
              </w:rPr>
            </w:pPr>
            <w:r>
              <w:rPr>
                <w:color w:val="000000"/>
              </w:rPr>
              <w:t>Operações de compra ou venda de ativos pelo fundo com garantia de recompra ou revenda pelo vendedor</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Ações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Ações e certificados de depósito de ações de companhias abertas</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Depósitos a prazo e outros títulos de instituições financeiras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 xml:space="preserve">CDB, RDB, LF, DPGE, CCCB, LCA, </w:t>
            </w:r>
            <w:proofErr w:type="gramStart"/>
            <w:r>
              <w:rPr>
                <w:color w:val="000000"/>
              </w:rPr>
              <w:t>LCI</w:t>
            </w:r>
            <w:proofErr w:type="gramEnd"/>
          </w:p>
        </w:tc>
      </w:tr>
      <w:tr w:rsid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Cotas de fundos de investimento 409</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 xml:space="preserve">Cotas de fundos de investimento regulados pela Inst. CVM nº 409, de </w:t>
            </w:r>
            <w:proofErr w:type="gramStart"/>
            <w:r>
              <w:rPr>
                <w:color w:val="000000"/>
              </w:rPr>
              <w:t>2004</w:t>
            </w:r>
            <w:proofErr w:type="gramEnd"/>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proofErr w:type="gramStart"/>
            <w:r>
              <w:t>Outras cotas</w:t>
            </w:r>
            <w:proofErr w:type="gramEnd"/>
            <w:r>
              <w:t xml:space="preserve"> de fundos de investimento</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rPr>
                <w:color w:val="000000"/>
              </w:rPr>
            </w:pPr>
            <w:r>
              <w:rPr>
                <w:color w:val="000000"/>
              </w:rPr>
              <w:t>Cotas de fundos de investimento regulados por outras instruções da CVM.</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Títulos de crédito privado</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 xml:space="preserve">Debêntures, notas promissórias, </w:t>
            </w:r>
            <w:proofErr w:type="spellStart"/>
            <w:r>
              <w:rPr>
                <w:b/>
                <w:color w:val="000000"/>
              </w:rPr>
              <w:t>commercial</w:t>
            </w:r>
            <w:proofErr w:type="spellEnd"/>
            <w:r>
              <w:rPr>
                <w:b/>
                <w:color w:val="000000"/>
              </w:rPr>
              <w:t xml:space="preserve"> </w:t>
            </w:r>
            <w:proofErr w:type="spellStart"/>
            <w:r>
              <w:rPr>
                <w:b/>
                <w:color w:val="000000"/>
              </w:rPr>
              <w:t>paper</w:t>
            </w:r>
            <w:proofErr w:type="spellEnd"/>
            <w:r>
              <w:rPr>
                <w:color w:val="000000"/>
              </w:rPr>
              <w:t xml:space="preserve">, </w:t>
            </w:r>
            <w:proofErr w:type="spellStart"/>
            <w:r>
              <w:rPr>
                <w:b/>
                <w:color w:val="000000"/>
              </w:rPr>
              <w:t>export</w:t>
            </w:r>
            <w:proofErr w:type="spellEnd"/>
            <w:r>
              <w:rPr>
                <w:b/>
                <w:color w:val="000000"/>
              </w:rPr>
              <w:t xml:space="preserve"> note</w:t>
            </w:r>
            <w:r>
              <w:rPr>
                <w:color w:val="000000"/>
              </w:rPr>
              <w:t xml:space="preserve">, CCB, CPR, WA, NCA, CDA e </w:t>
            </w:r>
            <w:proofErr w:type="gramStart"/>
            <w:r>
              <w:rPr>
                <w:color w:val="000000"/>
              </w:rPr>
              <w:t>CDCA</w:t>
            </w:r>
            <w:proofErr w:type="gramEnd"/>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Derivativos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b/>
                <w:color w:val="000000"/>
              </w:rPr>
              <w:t>Swaps</w:t>
            </w:r>
            <w:r>
              <w:rPr>
                <w:color w:val="000000"/>
              </w:rPr>
              <w:t xml:space="preserve">, opções, operações a termo e operações no mercado </w:t>
            </w:r>
            <w:proofErr w:type="gramStart"/>
            <w:r>
              <w:rPr>
                <w:color w:val="000000"/>
              </w:rPr>
              <w:t>futuro</w:t>
            </w:r>
            <w:proofErr w:type="gramEnd"/>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Investimento no exterior</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Ativos financeiros adquiridos no exterior</w:t>
            </w:r>
          </w:p>
        </w:tc>
      </w:tr>
      <w:tr w:rsidR="00B2445D" w:rsidRPr="00B2445D">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t>Outras aplicações</w:t>
            </w:r>
          </w:p>
        </w:tc>
        <w:tc>
          <w:tcPr>
            <w:tcW w:w="0" w:type="auto"/>
            <w:tcBorders>
              <w:top w:val="single" w:sz="4" w:space="0" w:color="000000"/>
              <w:left w:val="single" w:sz="4" w:space="0" w:color="000000"/>
              <w:bottom w:val="single" w:sz="4" w:space="0" w:color="000000"/>
              <w:right w:val="single" w:sz="4" w:space="0" w:color="000000"/>
            </w:tcBorders>
            <w:hideMark/>
          </w:tcPr>
          <w:p w:rsidR="00B2445D" w:rsidRDefault="00B2445D">
            <w:pPr>
              <w:pStyle w:val="EndnoteText"/>
              <w:jc w:val="both"/>
            </w:pPr>
            <w:r>
              <w:rPr>
                <w:color w:val="000000"/>
              </w:rPr>
              <w:t>Qualquer aplicação que não possa ser classificada nas opções anteriores</w:t>
            </w:r>
          </w:p>
        </w:tc>
      </w:tr>
    </w:tbl>
    <w:p w:rsidR="00B2445D" w:rsidRDefault="00B2445D" w:rsidP="00B2445D">
      <w:pPr>
        <w:pStyle w:val="EndnoteText"/>
        <w:jc w:val="both"/>
      </w:pPr>
    </w:p>
  </w:endnote>
  <w:endnote w:id="9">
    <w:p w:rsidR="00B2445D" w:rsidRDefault="00B2445D" w:rsidP="00B2445D">
      <w:pPr>
        <w:pStyle w:val="EndnoteText"/>
        <w:jc w:val="both"/>
      </w:pPr>
      <w:r>
        <w:rPr>
          <w:rStyle w:val="EndnoteReference"/>
        </w:rPr>
        <w:endnoteRef/>
      </w:r>
      <w:r>
        <w:t xml:space="preserve"> Item dispensado nas lâminas apresentadas para registro do fundo, nos termos do art. 8º, inciso VIII.</w:t>
      </w:r>
    </w:p>
  </w:endnote>
  <w:endnote w:id="10">
    <w:p w:rsidR="00B2445D" w:rsidRDefault="00B2445D" w:rsidP="00B2445D">
      <w:pPr>
        <w:pStyle w:val="EndnoteText"/>
        <w:jc w:val="both"/>
      </w:pPr>
      <w:r>
        <w:rPr>
          <w:rStyle w:val="EndnoteReference"/>
        </w:rPr>
        <w:endnoteRef/>
      </w:r>
      <w:r>
        <w:t xml:space="preserve"> Os fundos estruturados são definidos no OFÍCIO-CIRCULAR/CVM/SIN/Nº01/2010, de </w:t>
      </w:r>
      <w:proofErr w:type="gramStart"/>
      <w:r>
        <w:t>8</w:t>
      </w:r>
      <w:proofErr w:type="gramEnd"/>
      <w:r>
        <w:t xml:space="preserve"> de janeiro de 2010.</w:t>
      </w:r>
    </w:p>
  </w:endnote>
  <w:endnote w:id="11">
    <w:p w:rsidR="00B2445D" w:rsidRDefault="00B2445D" w:rsidP="00B2445D">
      <w:pPr>
        <w:pStyle w:val="EndnoteText"/>
        <w:jc w:val="both"/>
      </w:pPr>
      <w:r>
        <w:rPr>
          <w:rStyle w:val="EndnoteReference"/>
        </w:rPr>
        <w:endnoteRef/>
      </w:r>
      <w:r>
        <w:t xml:space="preserve"> Item dispensado nas lâminas apresentadas na instrução do pedido de registro e até que o fundo complete </w:t>
      </w:r>
      <w:proofErr w:type="gramStart"/>
      <w:r>
        <w:t>1</w:t>
      </w:r>
      <w:proofErr w:type="gramEnd"/>
      <w:r>
        <w:t xml:space="preserve"> (um) ano de operação, nos termos do art. 8º, inciso VIII.</w:t>
      </w:r>
    </w:p>
  </w:endnote>
  <w:endnote w:id="12">
    <w:p w:rsidR="00B2445D" w:rsidRDefault="00B2445D" w:rsidP="00B2445D">
      <w:pPr>
        <w:pStyle w:val="EndnoteText"/>
        <w:jc w:val="both"/>
      </w:pPr>
      <w:r>
        <w:rPr>
          <w:rStyle w:val="EndnoteReference"/>
        </w:rPr>
        <w:endnoteRef/>
      </w:r>
      <w:r>
        <w:t xml:space="preserve"> Meses devem ser ajustados de acordo com a data de atualização da lâmina.</w:t>
      </w:r>
    </w:p>
  </w:endnote>
  <w:endnote w:id="13">
    <w:p w:rsidR="00B2445D" w:rsidRDefault="00B2445D" w:rsidP="00B2445D">
      <w:pPr>
        <w:pStyle w:val="EndnoteText"/>
        <w:jc w:val="both"/>
      </w:pPr>
      <w:r>
        <w:rPr>
          <w:rStyle w:val="EndnoteReference"/>
        </w:rPr>
        <w:endnoteRef/>
      </w:r>
      <w:r>
        <w:t xml:space="preserve"> Item dispensado nas lâminas apresentadas na instrução do pedido de registro e até que o fundo complete </w:t>
      </w:r>
      <w:proofErr w:type="gramStart"/>
      <w:r>
        <w:t>1</w:t>
      </w:r>
      <w:proofErr w:type="gramEnd"/>
      <w:r>
        <w:t xml:space="preserve"> (um) ano de operação, nos termos do art. 8º, inciso VIII.</w:t>
      </w:r>
    </w:p>
  </w:endnote>
  <w:endnote w:id="14">
    <w:p w:rsidR="00B2445D" w:rsidRDefault="00B2445D" w:rsidP="00B2445D">
      <w:pPr>
        <w:pStyle w:val="EndnoteText"/>
        <w:jc w:val="both"/>
      </w:pPr>
      <w:r>
        <w:rPr>
          <w:rStyle w:val="EndnoteReference"/>
        </w:rPr>
        <w:endnoteRef/>
      </w:r>
      <w:r>
        <w:t xml:space="preserve"> Item dispensado nas lâminas apresentadas na instrução do pedido de registro e até que o fundo complete </w:t>
      </w:r>
      <w:proofErr w:type="gramStart"/>
      <w:r>
        <w:t>1</w:t>
      </w:r>
      <w:proofErr w:type="gramEnd"/>
      <w:r>
        <w:t xml:space="preserve"> (um) ano de operação, nos termos do art. 8º, inciso VIII.</w:t>
      </w:r>
    </w:p>
  </w:endnote>
  <w:endnote w:id="15">
    <w:p w:rsidR="00B2445D" w:rsidRDefault="00B2445D" w:rsidP="00B2445D">
      <w:pPr>
        <w:pStyle w:val="EndnoteText"/>
        <w:jc w:val="both"/>
      </w:pPr>
      <w:r>
        <w:rPr>
          <w:rStyle w:val="EndnoteReference"/>
        </w:rPr>
        <w:endnoteRef/>
      </w:r>
      <w:r>
        <w:t xml:space="preserve"> Período de 12 meses a que se refere </w:t>
      </w:r>
      <w:proofErr w:type="gramStart"/>
      <w:r>
        <w:t>a</w:t>
      </w:r>
      <w:proofErr w:type="gramEnd"/>
      <w:r>
        <w:t xml:space="preserve"> Demonstração. </w:t>
      </w:r>
    </w:p>
  </w:endnote>
  <w:endnote w:id="16">
    <w:p w:rsidR="00B2445D" w:rsidRDefault="00B2445D" w:rsidP="00B2445D">
      <w:pPr>
        <w:pStyle w:val="EndnoteText"/>
        <w:jc w:val="both"/>
      </w:pPr>
      <w:r>
        <w:rPr>
          <w:rStyle w:val="EndnoteReference"/>
        </w:rPr>
        <w:endnoteRef/>
      </w:r>
      <w:r>
        <w:t xml:space="preserve"> Preencher somente quando o gestor não pertencer ao mesmo grupo econômico do administrador.</w:t>
      </w:r>
    </w:p>
  </w:endnote>
  <w:endnote w:id="17">
    <w:p w:rsidR="00B2445D" w:rsidRDefault="00B2445D" w:rsidP="00B2445D">
      <w:pPr>
        <w:pStyle w:val="EndnoteText"/>
        <w:jc w:val="both"/>
      </w:pPr>
      <w:r>
        <w:rPr>
          <w:rStyle w:val="EndnoteReference"/>
        </w:rPr>
        <w:endnoteRef/>
      </w:r>
      <w:r>
        <w:t xml:space="preserve"> Item dispensado nas lâminas apresentadas na instrução do pedido de registro e até que o fundo complete </w:t>
      </w:r>
      <w:proofErr w:type="gramStart"/>
      <w:r>
        <w:t>1</w:t>
      </w:r>
      <w:proofErr w:type="gramEnd"/>
      <w:r>
        <w:t xml:space="preserve"> (um) ano de operação, nos termos do art. 8º, inciso VIII.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5D" w:rsidRDefault="00B2445D" w:rsidP="00B2445D">
      <w:r>
        <w:separator/>
      </w:r>
    </w:p>
  </w:footnote>
  <w:footnote w:type="continuationSeparator" w:id="0">
    <w:p w:rsidR="00B2445D" w:rsidRDefault="00B2445D" w:rsidP="00B2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rsidP="00B2445D">
    <w:pPr>
      <w:pStyle w:val="Header"/>
    </w:pPr>
    <w:r>
      <w:rPr>
        <w:noProof/>
        <w:lang w:val="en-US" w:eastAsia="en-US"/>
      </w:rPr>
      <w:drawing>
        <wp:inline distT="0" distB="0" distL="0" distR="0">
          <wp:extent cx="4419600" cy="781050"/>
          <wp:effectExtent l="0" t="0" r="0" b="0"/>
          <wp:docPr id="3" name="Picture 3"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81050"/>
                  </a:xfrm>
                  <a:prstGeom prst="rect">
                    <a:avLst/>
                  </a:prstGeom>
                  <a:noFill/>
                  <a:ln>
                    <a:noFill/>
                  </a:ln>
                </pic:spPr>
              </pic:pic>
            </a:graphicData>
          </a:graphic>
        </wp:inline>
      </w:drawing>
    </w:r>
  </w:p>
  <w:p w:rsidR="00B2445D" w:rsidRDefault="00B2445D">
    <w:pPr>
      <w:pStyle w:val="Header"/>
    </w:pPr>
  </w:p>
  <w:p w:rsidR="00B2445D" w:rsidRDefault="00B2445D" w:rsidP="00B2445D">
    <w:pPr>
      <w:pStyle w:val="Header"/>
      <w:ind w:right="360"/>
      <w:rPr>
        <w:sz w:val="18"/>
      </w:rPr>
    </w:pPr>
    <w:r>
      <w:rPr>
        <w:b/>
        <w:sz w:val="18"/>
      </w:rPr>
      <w:t>INSTRUÇÃO CVM N.º 409, DE 18 DE AGOSTO DE 2004.</w:t>
    </w:r>
  </w:p>
  <w:p w:rsidR="00B2445D" w:rsidRDefault="00B2445D">
    <w:pPr>
      <w:pStyle w:val="Header"/>
    </w:pPr>
    <w:bookmarkStart w:id="184" w:name="_GoBack"/>
    <w:bookmarkEnd w:id="1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D" w:rsidRDefault="00B24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9C3"/>
    <w:multiLevelType w:val="hybridMultilevel"/>
    <w:tmpl w:val="C2D0308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
    <w:nsid w:val="049744C9"/>
    <w:multiLevelType w:val="hybridMultilevel"/>
    <w:tmpl w:val="0B9C9D7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
    <w:nsid w:val="060D4883"/>
    <w:multiLevelType w:val="hybridMultilevel"/>
    <w:tmpl w:val="F4BC94F2"/>
    <w:lvl w:ilvl="0" w:tplc="82022132">
      <w:start w:val="1"/>
      <w:numFmt w:val="decimal"/>
      <w:lvlText w:val="%1."/>
      <w:lvlJc w:val="left"/>
      <w:pPr>
        <w:tabs>
          <w:tab w:val="num" w:pos="1065"/>
        </w:tabs>
        <w:ind w:left="1065" w:hanging="705"/>
      </w:pPr>
      <w:rPr>
        <w:b w:val="0"/>
        <w:i w:val="0"/>
      </w:rPr>
    </w:lvl>
    <w:lvl w:ilvl="1" w:tplc="FD06584E">
      <w:start w:val="1"/>
      <w:numFmt w:val="lowerLetter"/>
      <w:lvlText w:val="%2."/>
      <w:lvlJc w:val="left"/>
      <w:pPr>
        <w:tabs>
          <w:tab w:val="num" w:pos="1440"/>
        </w:tabs>
        <w:ind w:left="1440" w:hanging="360"/>
      </w:pPr>
      <w:rPr>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8FA0841"/>
    <w:multiLevelType w:val="hybridMultilevel"/>
    <w:tmpl w:val="B13E4DC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
    <w:nsid w:val="095B1956"/>
    <w:multiLevelType w:val="hybridMultilevel"/>
    <w:tmpl w:val="60C26CE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
    <w:nsid w:val="0A8B39C0"/>
    <w:multiLevelType w:val="hybridMultilevel"/>
    <w:tmpl w:val="59B8619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
    <w:nsid w:val="0B045095"/>
    <w:multiLevelType w:val="hybridMultilevel"/>
    <w:tmpl w:val="53DCABB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
    <w:nsid w:val="0E60359C"/>
    <w:multiLevelType w:val="hybridMultilevel"/>
    <w:tmpl w:val="CD9A2008"/>
    <w:lvl w:ilvl="0" w:tplc="FFFFFFFF">
      <w:start w:val="1"/>
      <w:numFmt w:val="bullet"/>
      <w:lvlText w:val=""/>
      <w:lvlJc w:val="left"/>
      <w:pPr>
        <w:tabs>
          <w:tab w:val="num" w:pos="786"/>
        </w:tabs>
        <w:ind w:left="786"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8">
    <w:nsid w:val="0EB9143E"/>
    <w:multiLevelType w:val="hybridMultilevel"/>
    <w:tmpl w:val="7472CEB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9">
    <w:nsid w:val="101644B0"/>
    <w:multiLevelType w:val="hybridMultilevel"/>
    <w:tmpl w:val="BE3C808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0">
    <w:nsid w:val="10902991"/>
    <w:multiLevelType w:val="hybridMultilevel"/>
    <w:tmpl w:val="6B1EEE12"/>
    <w:lvl w:ilvl="0" w:tplc="F2EA8E6A">
      <w:start w:val="1"/>
      <w:numFmt w:val="decimal"/>
      <w:lvlText w:val="%1."/>
      <w:lvlJc w:val="left"/>
      <w:pPr>
        <w:tabs>
          <w:tab w:val="num" w:pos="847"/>
        </w:tabs>
        <w:ind w:left="847" w:hanging="705"/>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0D91246"/>
    <w:multiLevelType w:val="hybridMultilevel"/>
    <w:tmpl w:val="6404706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2">
    <w:nsid w:val="12F56A01"/>
    <w:multiLevelType w:val="hybridMultilevel"/>
    <w:tmpl w:val="F18875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53839F7"/>
    <w:multiLevelType w:val="hybridMultilevel"/>
    <w:tmpl w:val="E9A898C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4">
    <w:nsid w:val="160D15C1"/>
    <w:multiLevelType w:val="hybridMultilevel"/>
    <w:tmpl w:val="86E805C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5">
    <w:nsid w:val="1823313F"/>
    <w:multiLevelType w:val="hybridMultilevel"/>
    <w:tmpl w:val="1B5630C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6">
    <w:nsid w:val="1A821F1D"/>
    <w:multiLevelType w:val="hybridMultilevel"/>
    <w:tmpl w:val="905A6E6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7">
    <w:nsid w:val="1FEB200E"/>
    <w:multiLevelType w:val="hybridMultilevel"/>
    <w:tmpl w:val="DDFEEEE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8">
    <w:nsid w:val="210E5A9F"/>
    <w:multiLevelType w:val="hybridMultilevel"/>
    <w:tmpl w:val="8C54111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19">
    <w:nsid w:val="225C6676"/>
    <w:multiLevelType w:val="hybridMultilevel"/>
    <w:tmpl w:val="FDCAFB9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0">
    <w:nsid w:val="228A394F"/>
    <w:multiLevelType w:val="hybridMultilevel"/>
    <w:tmpl w:val="8B42CD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1">
    <w:nsid w:val="248A068F"/>
    <w:multiLevelType w:val="hybridMultilevel"/>
    <w:tmpl w:val="BC6E495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2">
    <w:nsid w:val="29166D8B"/>
    <w:multiLevelType w:val="hybridMultilevel"/>
    <w:tmpl w:val="866C838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3">
    <w:nsid w:val="2A815752"/>
    <w:multiLevelType w:val="hybridMultilevel"/>
    <w:tmpl w:val="51D025A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4">
    <w:nsid w:val="2AA23106"/>
    <w:multiLevelType w:val="hybridMultilevel"/>
    <w:tmpl w:val="04765B4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5">
    <w:nsid w:val="2BB90ACC"/>
    <w:multiLevelType w:val="hybridMultilevel"/>
    <w:tmpl w:val="C340126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6">
    <w:nsid w:val="2C8D5268"/>
    <w:multiLevelType w:val="hybridMultilevel"/>
    <w:tmpl w:val="5646409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7">
    <w:nsid w:val="3019795F"/>
    <w:multiLevelType w:val="hybridMultilevel"/>
    <w:tmpl w:val="1A72D01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8">
    <w:nsid w:val="306F3E49"/>
    <w:multiLevelType w:val="hybridMultilevel"/>
    <w:tmpl w:val="6242D93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29">
    <w:nsid w:val="31EA0979"/>
    <w:multiLevelType w:val="hybridMultilevel"/>
    <w:tmpl w:val="4CC6986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0">
    <w:nsid w:val="3375492F"/>
    <w:multiLevelType w:val="hybridMultilevel"/>
    <w:tmpl w:val="C77A228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1">
    <w:nsid w:val="35B52C06"/>
    <w:multiLevelType w:val="hybridMultilevel"/>
    <w:tmpl w:val="4C4A15E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2">
    <w:nsid w:val="38195C77"/>
    <w:multiLevelType w:val="hybridMultilevel"/>
    <w:tmpl w:val="4E441F16"/>
    <w:lvl w:ilvl="0" w:tplc="FD06584E">
      <w:start w:val="1"/>
      <w:numFmt w:val="lowerLetter"/>
      <w:lvlText w:val="%1."/>
      <w:lvlJc w:val="left"/>
      <w:pPr>
        <w:tabs>
          <w:tab w:val="num" w:pos="1440"/>
        </w:tabs>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3A243A7B"/>
    <w:multiLevelType w:val="hybridMultilevel"/>
    <w:tmpl w:val="7544266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4">
    <w:nsid w:val="3B49328F"/>
    <w:multiLevelType w:val="hybridMultilevel"/>
    <w:tmpl w:val="08EEDC40"/>
    <w:lvl w:ilvl="0" w:tplc="E05E01AA">
      <w:start w:val="1"/>
      <w:numFmt w:val="decimal"/>
      <w:lvlText w:val="%1."/>
      <w:lvlJc w:val="left"/>
      <w:pPr>
        <w:tabs>
          <w:tab w:val="num" w:pos="1065"/>
        </w:tabs>
        <w:ind w:left="1065" w:hanging="705"/>
      </w:pPr>
      <w:rPr>
        <w:b w:val="0"/>
        <w:i w:val="0"/>
      </w:rPr>
    </w:lvl>
    <w:lvl w:ilvl="1" w:tplc="FD06584E">
      <w:start w:val="1"/>
      <w:numFmt w:val="lowerLetter"/>
      <w:lvlText w:val="%2."/>
      <w:lvlJc w:val="left"/>
      <w:pPr>
        <w:tabs>
          <w:tab w:val="num" w:pos="1440"/>
        </w:tabs>
        <w:ind w:left="1440" w:hanging="360"/>
      </w:pPr>
      <w:rPr>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3CD33C52"/>
    <w:multiLevelType w:val="hybridMultilevel"/>
    <w:tmpl w:val="CDEE97C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6">
    <w:nsid w:val="3DEF3FF5"/>
    <w:multiLevelType w:val="hybridMultilevel"/>
    <w:tmpl w:val="9590558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7">
    <w:nsid w:val="3E0A4234"/>
    <w:multiLevelType w:val="hybridMultilevel"/>
    <w:tmpl w:val="112C3F9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8">
    <w:nsid w:val="3F352797"/>
    <w:multiLevelType w:val="hybridMultilevel"/>
    <w:tmpl w:val="0E4A834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39">
    <w:nsid w:val="402E60BF"/>
    <w:multiLevelType w:val="hybridMultilevel"/>
    <w:tmpl w:val="A1746AD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0">
    <w:nsid w:val="427A012B"/>
    <w:multiLevelType w:val="hybridMultilevel"/>
    <w:tmpl w:val="F8CA234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1">
    <w:nsid w:val="44622341"/>
    <w:multiLevelType w:val="hybridMultilevel"/>
    <w:tmpl w:val="79BEE77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2">
    <w:nsid w:val="49145835"/>
    <w:multiLevelType w:val="hybridMultilevel"/>
    <w:tmpl w:val="97FADBAE"/>
    <w:lvl w:ilvl="0" w:tplc="E3D85030">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3">
    <w:nsid w:val="4AEB50EE"/>
    <w:multiLevelType w:val="hybridMultilevel"/>
    <w:tmpl w:val="FC9A6C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4">
    <w:nsid w:val="4F0F4627"/>
    <w:multiLevelType w:val="hybridMultilevel"/>
    <w:tmpl w:val="00029F0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5">
    <w:nsid w:val="55381083"/>
    <w:multiLevelType w:val="hybridMultilevel"/>
    <w:tmpl w:val="486CEC9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6">
    <w:nsid w:val="558B0FC0"/>
    <w:multiLevelType w:val="hybridMultilevel"/>
    <w:tmpl w:val="D9B20E9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7">
    <w:nsid w:val="564F6AC4"/>
    <w:multiLevelType w:val="hybridMultilevel"/>
    <w:tmpl w:val="3976D87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8">
    <w:nsid w:val="58DD5246"/>
    <w:multiLevelType w:val="hybridMultilevel"/>
    <w:tmpl w:val="1D9C2B5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49">
    <w:nsid w:val="5A506570"/>
    <w:multiLevelType w:val="hybridMultilevel"/>
    <w:tmpl w:val="A22E462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0">
    <w:nsid w:val="5A581D03"/>
    <w:multiLevelType w:val="hybridMultilevel"/>
    <w:tmpl w:val="69C896B4"/>
    <w:lvl w:ilvl="0" w:tplc="3B86FE56">
      <w:start w:val="1"/>
      <w:numFmt w:val="lowerLetter"/>
      <w:lvlText w:val="%1."/>
      <w:lvlJc w:val="left"/>
      <w:pPr>
        <w:tabs>
          <w:tab w:val="num" w:pos="1440"/>
        </w:tabs>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nsid w:val="5C9765D6"/>
    <w:multiLevelType w:val="hybridMultilevel"/>
    <w:tmpl w:val="FD1E344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2">
    <w:nsid w:val="5C9F046E"/>
    <w:multiLevelType w:val="hybridMultilevel"/>
    <w:tmpl w:val="516E50B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3">
    <w:nsid w:val="5D513BEE"/>
    <w:multiLevelType w:val="hybridMultilevel"/>
    <w:tmpl w:val="A0AA486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4">
    <w:nsid w:val="5DAA1FF5"/>
    <w:multiLevelType w:val="hybridMultilevel"/>
    <w:tmpl w:val="858842C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5">
    <w:nsid w:val="5E90025D"/>
    <w:multiLevelType w:val="hybridMultilevel"/>
    <w:tmpl w:val="CCA4638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6">
    <w:nsid w:val="5FA46EE3"/>
    <w:multiLevelType w:val="hybridMultilevel"/>
    <w:tmpl w:val="878C869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7">
    <w:nsid w:val="609C1488"/>
    <w:multiLevelType w:val="hybridMultilevel"/>
    <w:tmpl w:val="A7EEF1F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8">
    <w:nsid w:val="62A63F07"/>
    <w:multiLevelType w:val="hybridMultilevel"/>
    <w:tmpl w:val="793A416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9">
    <w:nsid w:val="62DB2694"/>
    <w:multiLevelType w:val="hybridMultilevel"/>
    <w:tmpl w:val="54B63E9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0">
    <w:nsid w:val="62EC4749"/>
    <w:multiLevelType w:val="hybridMultilevel"/>
    <w:tmpl w:val="1334135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1">
    <w:nsid w:val="63200979"/>
    <w:multiLevelType w:val="hybridMultilevel"/>
    <w:tmpl w:val="15F81C0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2">
    <w:nsid w:val="655B205A"/>
    <w:multiLevelType w:val="hybridMultilevel"/>
    <w:tmpl w:val="CD3C01D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3">
    <w:nsid w:val="65BF0ED2"/>
    <w:multiLevelType w:val="hybridMultilevel"/>
    <w:tmpl w:val="5C7A503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4">
    <w:nsid w:val="6608066C"/>
    <w:multiLevelType w:val="hybridMultilevel"/>
    <w:tmpl w:val="02A60C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5">
    <w:nsid w:val="66674131"/>
    <w:multiLevelType w:val="hybridMultilevel"/>
    <w:tmpl w:val="89E0C3F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6">
    <w:nsid w:val="67EF7FD8"/>
    <w:multiLevelType w:val="hybridMultilevel"/>
    <w:tmpl w:val="BF1AEDA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7">
    <w:nsid w:val="6909580A"/>
    <w:multiLevelType w:val="hybridMultilevel"/>
    <w:tmpl w:val="621E953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8">
    <w:nsid w:val="6CEE2BA3"/>
    <w:multiLevelType w:val="hybridMultilevel"/>
    <w:tmpl w:val="9124A6A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69">
    <w:nsid w:val="6CFC408D"/>
    <w:multiLevelType w:val="hybridMultilevel"/>
    <w:tmpl w:val="4E441F16"/>
    <w:lvl w:ilvl="0" w:tplc="FD06584E">
      <w:start w:val="1"/>
      <w:numFmt w:val="lowerLetter"/>
      <w:lvlText w:val="%1."/>
      <w:lvlJc w:val="left"/>
      <w:pPr>
        <w:tabs>
          <w:tab w:val="num" w:pos="1440"/>
        </w:tabs>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nsid w:val="6D1466CA"/>
    <w:multiLevelType w:val="hybridMultilevel"/>
    <w:tmpl w:val="2FA2E15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1">
    <w:nsid w:val="70FB2186"/>
    <w:multiLevelType w:val="hybridMultilevel"/>
    <w:tmpl w:val="6ED082A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2">
    <w:nsid w:val="72B31606"/>
    <w:multiLevelType w:val="hybridMultilevel"/>
    <w:tmpl w:val="24EA67B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3">
    <w:nsid w:val="72E33B7B"/>
    <w:multiLevelType w:val="hybridMultilevel"/>
    <w:tmpl w:val="2384C10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4">
    <w:nsid w:val="77350D84"/>
    <w:multiLevelType w:val="hybridMultilevel"/>
    <w:tmpl w:val="617A1C8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5">
    <w:nsid w:val="778C0220"/>
    <w:multiLevelType w:val="hybridMultilevel"/>
    <w:tmpl w:val="504243F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6">
    <w:nsid w:val="7B471E08"/>
    <w:multiLevelType w:val="hybridMultilevel"/>
    <w:tmpl w:val="C186D87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77">
    <w:nsid w:val="7F745DED"/>
    <w:multiLevelType w:val="hybridMultilevel"/>
    <w:tmpl w:val="2E7833A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num w:numId="1">
    <w:abstractNumId w:val="48"/>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6"/>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lvlOverride w:ilvl="2"/>
    <w:lvlOverride w:ilvl="3"/>
    <w:lvlOverride w:ilvl="4"/>
    <w:lvlOverride w:ilvl="5"/>
    <w:lvlOverride w:ilvl="6"/>
    <w:lvlOverride w:ilvl="7"/>
    <w:lvlOverride w:ilvl="8"/>
  </w:num>
  <w:num w:numId="10">
    <w:abstractNumId w:val="64"/>
    <w:lvlOverride w:ilvl="0"/>
    <w:lvlOverride w:ilvl="1"/>
    <w:lvlOverride w:ilvl="2"/>
    <w:lvlOverride w:ilvl="3"/>
    <w:lvlOverride w:ilvl="4"/>
    <w:lvlOverride w:ilvl="5"/>
    <w:lvlOverride w:ilvl="6"/>
    <w:lvlOverride w:ilvl="7"/>
    <w:lvlOverride w:ilvl="8"/>
  </w:num>
  <w:num w:numId="11">
    <w:abstractNumId w:val="28"/>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6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7"/>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66"/>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54"/>
    <w:lvlOverride w:ilvl="0"/>
    <w:lvlOverride w:ilvl="1"/>
    <w:lvlOverride w:ilvl="2"/>
    <w:lvlOverride w:ilvl="3"/>
    <w:lvlOverride w:ilvl="4"/>
    <w:lvlOverride w:ilvl="5"/>
    <w:lvlOverride w:ilvl="6"/>
    <w:lvlOverride w:ilvl="7"/>
    <w:lvlOverride w:ilvl="8"/>
  </w:num>
  <w:num w:numId="20">
    <w:abstractNumId w:val="63"/>
    <w:lvlOverride w:ilvl="0"/>
    <w:lvlOverride w:ilvl="1"/>
    <w:lvlOverride w:ilvl="2"/>
    <w:lvlOverride w:ilvl="3"/>
    <w:lvlOverride w:ilvl="4"/>
    <w:lvlOverride w:ilvl="5"/>
    <w:lvlOverride w:ilvl="6"/>
    <w:lvlOverride w:ilvl="7"/>
    <w:lvlOverride w:ilvl="8"/>
  </w:num>
  <w:num w:numId="21">
    <w:abstractNumId w:val="56"/>
    <w:lvlOverride w:ilvl="0"/>
    <w:lvlOverride w:ilvl="1"/>
    <w:lvlOverride w:ilvl="2"/>
    <w:lvlOverride w:ilvl="3"/>
    <w:lvlOverride w:ilvl="4"/>
    <w:lvlOverride w:ilvl="5"/>
    <w:lvlOverride w:ilvl="6"/>
    <w:lvlOverride w:ilvl="7"/>
    <w:lvlOverride w:ilvl="8"/>
  </w:num>
  <w:num w:numId="22">
    <w:abstractNumId w:val="73"/>
    <w:lvlOverride w:ilvl="0"/>
    <w:lvlOverride w:ilvl="1"/>
    <w:lvlOverride w:ilvl="2"/>
    <w:lvlOverride w:ilvl="3"/>
    <w:lvlOverride w:ilvl="4"/>
    <w:lvlOverride w:ilvl="5"/>
    <w:lvlOverride w:ilvl="6"/>
    <w:lvlOverride w:ilvl="7"/>
    <w:lvlOverride w:ilvl="8"/>
  </w:num>
  <w:num w:numId="23">
    <w:abstractNumId w:val="53"/>
    <w:lvlOverride w:ilvl="0"/>
    <w:lvlOverride w:ilvl="1"/>
    <w:lvlOverride w:ilvl="2"/>
    <w:lvlOverride w:ilvl="3"/>
    <w:lvlOverride w:ilvl="4"/>
    <w:lvlOverride w:ilvl="5"/>
    <w:lvlOverride w:ilvl="6"/>
    <w:lvlOverride w:ilvl="7"/>
    <w:lvlOverride w:ilvl="8"/>
  </w:num>
  <w:num w:numId="24">
    <w:abstractNumId w:val="41"/>
    <w:lvlOverride w:ilvl="0"/>
    <w:lvlOverride w:ilvl="1"/>
    <w:lvlOverride w:ilvl="2"/>
    <w:lvlOverride w:ilvl="3"/>
    <w:lvlOverride w:ilvl="4"/>
    <w:lvlOverride w:ilvl="5"/>
    <w:lvlOverride w:ilvl="6"/>
    <w:lvlOverride w:ilvl="7"/>
    <w:lvlOverride w:ilvl="8"/>
  </w:num>
  <w:num w:numId="25">
    <w:abstractNumId w:val="40"/>
    <w:lvlOverride w:ilvl="0"/>
    <w:lvlOverride w:ilvl="1"/>
    <w:lvlOverride w:ilvl="2"/>
    <w:lvlOverride w:ilvl="3"/>
    <w:lvlOverride w:ilvl="4"/>
    <w:lvlOverride w:ilvl="5"/>
    <w:lvlOverride w:ilvl="6"/>
    <w:lvlOverride w:ilvl="7"/>
    <w:lvlOverride w:ilvl="8"/>
  </w:num>
  <w:num w:numId="26">
    <w:abstractNumId w:val="76"/>
    <w:lvlOverride w:ilvl="0"/>
    <w:lvlOverride w:ilvl="1"/>
    <w:lvlOverride w:ilvl="2"/>
    <w:lvlOverride w:ilvl="3"/>
    <w:lvlOverride w:ilvl="4"/>
    <w:lvlOverride w:ilvl="5"/>
    <w:lvlOverride w:ilvl="6"/>
    <w:lvlOverride w:ilvl="7"/>
    <w:lvlOverride w:ilvl="8"/>
  </w:num>
  <w:num w:numId="27">
    <w:abstractNumId w:val="44"/>
    <w:lvlOverride w:ilvl="0"/>
    <w:lvlOverride w:ilvl="1"/>
    <w:lvlOverride w:ilvl="2"/>
    <w:lvlOverride w:ilvl="3"/>
    <w:lvlOverride w:ilvl="4"/>
    <w:lvlOverride w:ilvl="5"/>
    <w:lvlOverride w:ilvl="6"/>
    <w:lvlOverride w:ilvl="7"/>
    <w:lvlOverride w:ilvl="8"/>
  </w:num>
  <w:num w:numId="28">
    <w:abstractNumId w:val="67"/>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38"/>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37"/>
    <w:lvlOverride w:ilvl="0"/>
    <w:lvlOverride w:ilvl="1"/>
    <w:lvlOverride w:ilvl="2"/>
    <w:lvlOverride w:ilvl="3"/>
    <w:lvlOverride w:ilvl="4"/>
    <w:lvlOverride w:ilvl="5"/>
    <w:lvlOverride w:ilvl="6"/>
    <w:lvlOverride w:ilvl="7"/>
    <w:lvlOverride w:ilvl="8"/>
  </w:num>
  <w:num w:numId="33">
    <w:abstractNumId w:val="75"/>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 w:numId="38">
    <w:abstractNumId w:val="57"/>
    <w:lvlOverride w:ilvl="0"/>
    <w:lvlOverride w:ilvl="1"/>
    <w:lvlOverride w:ilvl="2"/>
    <w:lvlOverride w:ilvl="3"/>
    <w:lvlOverride w:ilvl="4"/>
    <w:lvlOverride w:ilvl="5"/>
    <w:lvlOverride w:ilvl="6"/>
    <w:lvlOverride w:ilvl="7"/>
    <w:lvlOverride w:ilvl="8"/>
  </w:num>
  <w:num w:numId="39">
    <w:abstractNumId w:val="8"/>
    <w:lvlOverride w:ilvl="0"/>
    <w:lvlOverride w:ilvl="1"/>
    <w:lvlOverride w:ilvl="2"/>
    <w:lvlOverride w:ilvl="3"/>
    <w:lvlOverride w:ilvl="4"/>
    <w:lvlOverride w:ilvl="5"/>
    <w:lvlOverride w:ilvl="6"/>
    <w:lvlOverride w:ilvl="7"/>
    <w:lvlOverride w:ilvl="8"/>
  </w:num>
  <w:num w:numId="40">
    <w:abstractNumId w:val="31"/>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0"/>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 w:numId="45">
    <w:abstractNumId w:val="33"/>
    <w:lvlOverride w:ilvl="0"/>
    <w:lvlOverride w:ilvl="1"/>
    <w:lvlOverride w:ilvl="2"/>
    <w:lvlOverride w:ilvl="3"/>
    <w:lvlOverride w:ilvl="4"/>
    <w:lvlOverride w:ilvl="5"/>
    <w:lvlOverride w:ilvl="6"/>
    <w:lvlOverride w:ilvl="7"/>
    <w:lvlOverride w:ilvl="8"/>
  </w:num>
  <w:num w:numId="46">
    <w:abstractNumId w:val="19"/>
    <w:lvlOverride w:ilvl="0"/>
    <w:lvlOverride w:ilvl="1"/>
    <w:lvlOverride w:ilvl="2"/>
    <w:lvlOverride w:ilvl="3"/>
    <w:lvlOverride w:ilvl="4"/>
    <w:lvlOverride w:ilvl="5"/>
    <w:lvlOverride w:ilvl="6"/>
    <w:lvlOverride w:ilvl="7"/>
    <w:lvlOverride w:ilvl="8"/>
  </w:num>
  <w:num w:numId="47">
    <w:abstractNumId w:val="26"/>
    <w:lvlOverride w:ilvl="0"/>
    <w:lvlOverride w:ilvl="1"/>
    <w:lvlOverride w:ilvl="2"/>
    <w:lvlOverride w:ilvl="3"/>
    <w:lvlOverride w:ilvl="4"/>
    <w:lvlOverride w:ilvl="5"/>
    <w:lvlOverride w:ilvl="6"/>
    <w:lvlOverride w:ilvl="7"/>
    <w:lvlOverride w:ilvl="8"/>
  </w:num>
  <w:num w:numId="48">
    <w:abstractNumId w:val="71"/>
    <w:lvlOverride w:ilvl="0"/>
    <w:lvlOverride w:ilvl="1"/>
    <w:lvlOverride w:ilvl="2"/>
    <w:lvlOverride w:ilvl="3"/>
    <w:lvlOverride w:ilvl="4"/>
    <w:lvlOverride w:ilvl="5"/>
    <w:lvlOverride w:ilvl="6"/>
    <w:lvlOverride w:ilvl="7"/>
    <w:lvlOverride w:ilvl="8"/>
  </w:num>
  <w:num w:numId="49">
    <w:abstractNumId w:val="77"/>
    <w:lvlOverride w:ilvl="0"/>
    <w:lvlOverride w:ilvl="1"/>
    <w:lvlOverride w:ilvl="2"/>
    <w:lvlOverride w:ilvl="3"/>
    <w:lvlOverride w:ilvl="4"/>
    <w:lvlOverride w:ilvl="5"/>
    <w:lvlOverride w:ilvl="6"/>
    <w:lvlOverride w:ilvl="7"/>
    <w:lvlOverride w:ilvl="8"/>
  </w:num>
  <w:num w:numId="50">
    <w:abstractNumId w:val="11"/>
    <w:lvlOverride w:ilvl="0"/>
    <w:lvlOverride w:ilvl="1"/>
    <w:lvlOverride w:ilvl="2"/>
    <w:lvlOverride w:ilvl="3"/>
    <w:lvlOverride w:ilvl="4"/>
    <w:lvlOverride w:ilvl="5"/>
    <w:lvlOverride w:ilvl="6"/>
    <w:lvlOverride w:ilvl="7"/>
    <w:lvlOverride w:ilvl="8"/>
  </w:num>
  <w:num w:numId="51">
    <w:abstractNumId w:val="49"/>
    <w:lvlOverride w:ilvl="0"/>
    <w:lvlOverride w:ilvl="1"/>
    <w:lvlOverride w:ilvl="2"/>
    <w:lvlOverride w:ilvl="3"/>
    <w:lvlOverride w:ilvl="4"/>
    <w:lvlOverride w:ilvl="5"/>
    <w:lvlOverride w:ilvl="6"/>
    <w:lvlOverride w:ilvl="7"/>
    <w:lvlOverride w:ilvl="8"/>
  </w:num>
  <w:num w:numId="52">
    <w:abstractNumId w:val="52"/>
    <w:lvlOverride w:ilvl="0"/>
    <w:lvlOverride w:ilvl="1"/>
    <w:lvlOverride w:ilvl="2"/>
    <w:lvlOverride w:ilvl="3"/>
    <w:lvlOverride w:ilvl="4"/>
    <w:lvlOverride w:ilvl="5"/>
    <w:lvlOverride w:ilvl="6"/>
    <w:lvlOverride w:ilvl="7"/>
    <w:lvlOverride w:ilvl="8"/>
  </w:num>
  <w:num w:numId="53">
    <w:abstractNumId w:val="22"/>
    <w:lvlOverride w:ilvl="0"/>
    <w:lvlOverride w:ilvl="1"/>
    <w:lvlOverride w:ilvl="2"/>
    <w:lvlOverride w:ilvl="3"/>
    <w:lvlOverride w:ilvl="4"/>
    <w:lvlOverride w:ilvl="5"/>
    <w:lvlOverride w:ilvl="6"/>
    <w:lvlOverride w:ilvl="7"/>
    <w:lvlOverride w:ilvl="8"/>
  </w:num>
  <w:num w:numId="54">
    <w:abstractNumId w:val="68"/>
    <w:lvlOverride w:ilvl="0"/>
    <w:lvlOverride w:ilvl="1"/>
    <w:lvlOverride w:ilvl="2"/>
    <w:lvlOverride w:ilvl="3"/>
    <w:lvlOverride w:ilvl="4"/>
    <w:lvlOverride w:ilvl="5"/>
    <w:lvlOverride w:ilvl="6"/>
    <w:lvlOverride w:ilvl="7"/>
    <w:lvlOverride w:ilvl="8"/>
  </w:num>
  <w:num w:numId="55">
    <w:abstractNumId w:val="20"/>
    <w:lvlOverride w:ilvl="0"/>
    <w:lvlOverride w:ilvl="1"/>
    <w:lvlOverride w:ilvl="2"/>
    <w:lvlOverride w:ilvl="3"/>
    <w:lvlOverride w:ilvl="4"/>
    <w:lvlOverride w:ilvl="5"/>
    <w:lvlOverride w:ilvl="6"/>
    <w:lvlOverride w:ilvl="7"/>
    <w:lvlOverride w:ilvl="8"/>
  </w:num>
  <w:num w:numId="56">
    <w:abstractNumId w:val="59"/>
    <w:lvlOverride w:ilvl="0"/>
    <w:lvlOverride w:ilvl="1"/>
    <w:lvlOverride w:ilvl="2"/>
    <w:lvlOverride w:ilvl="3"/>
    <w:lvlOverride w:ilvl="4"/>
    <w:lvlOverride w:ilvl="5"/>
    <w:lvlOverride w:ilvl="6"/>
    <w:lvlOverride w:ilvl="7"/>
    <w:lvlOverride w:ilvl="8"/>
  </w:num>
  <w:num w:numId="57">
    <w:abstractNumId w:val="13"/>
    <w:lvlOverride w:ilvl="0"/>
    <w:lvlOverride w:ilvl="1"/>
    <w:lvlOverride w:ilvl="2"/>
    <w:lvlOverride w:ilvl="3"/>
    <w:lvlOverride w:ilvl="4"/>
    <w:lvlOverride w:ilvl="5"/>
    <w:lvlOverride w:ilvl="6"/>
    <w:lvlOverride w:ilvl="7"/>
    <w:lvlOverride w:ilvl="8"/>
  </w:num>
  <w:num w:numId="58">
    <w:abstractNumId w:val="51"/>
    <w:lvlOverride w:ilvl="0"/>
    <w:lvlOverride w:ilvl="1"/>
    <w:lvlOverride w:ilvl="2"/>
    <w:lvlOverride w:ilvl="3"/>
    <w:lvlOverride w:ilvl="4"/>
    <w:lvlOverride w:ilvl="5"/>
    <w:lvlOverride w:ilvl="6"/>
    <w:lvlOverride w:ilvl="7"/>
    <w:lvlOverride w:ilvl="8"/>
  </w:num>
  <w:num w:numId="59">
    <w:abstractNumId w:val="72"/>
    <w:lvlOverride w:ilvl="0"/>
    <w:lvlOverride w:ilvl="1"/>
    <w:lvlOverride w:ilvl="2"/>
    <w:lvlOverride w:ilvl="3"/>
    <w:lvlOverride w:ilvl="4"/>
    <w:lvlOverride w:ilvl="5"/>
    <w:lvlOverride w:ilvl="6"/>
    <w:lvlOverride w:ilvl="7"/>
    <w:lvlOverride w:ilvl="8"/>
  </w:num>
  <w:num w:numId="60">
    <w:abstractNumId w:val="58"/>
    <w:lvlOverride w:ilvl="0"/>
    <w:lvlOverride w:ilvl="1"/>
    <w:lvlOverride w:ilvl="2"/>
    <w:lvlOverride w:ilvl="3"/>
    <w:lvlOverride w:ilvl="4"/>
    <w:lvlOverride w:ilvl="5"/>
    <w:lvlOverride w:ilvl="6"/>
    <w:lvlOverride w:ilvl="7"/>
    <w:lvlOverride w:ilvl="8"/>
  </w:num>
  <w:num w:numId="61">
    <w:abstractNumId w:val="24"/>
    <w:lvlOverride w:ilvl="0"/>
    <w:lvlOverride w:ilvl="1"/>
    <w:lvlOverride w:ilvl="2"/>
    <w:lvlOverride w:ilvl="3"/>
    <w:lvlOverride w:ilvl="4"/>
    <w:lvlOverride w:ilvl="5"/>
    <w:lvlOverride w:ilvl="6"/>
    <w:lvlOverride w:ilvl="7"/>
    <w:lvlOverride w:ilvl="8"/>
  </w:num>
  <w:num w:numId="62">
    <w:abstractNumId w:val="61"/>
    <w:lvlOverride w:ilvl="0"/>
    <w:lvlOverride w:ilvl="1"/>
    <w:lvlOverride w:ilvl="2"/>
    <w:lvlOverride w:ilvl="3"/>
    <w:lvlOverride w:ilvl="4"/>
    <w:lvlOverride w:ilvl="5"/>
    <w:lvlOverride w:ilvl="6"/>
    <w:lvlOverride w:ilvl="7"/>
    <w:lvlOverride w:ilvl="8"/>
  </w:num>
  <w:num w:numId="63">
    <w:abstractNumId w:val="30"/>
    <w:lvlOverride w:ilvl="0"/>
    <w:lvlOverride w:ilvl="1"/>
    <w:lvlOverride w:ilvl="2"/>
    <w:lvlOverride w:ilvl="3"/>
    <w:lvlOverride w:ilvl="4"/>
    <w:lvlOverride w:ilvl="5"/>
    <w:lvlOverride w:ilvl="6"/>
    <w:lvlOverride w:ilvl="7"/>
    <w:lvlOverride w:ilvl="8"/>
  </w:num>
  <w:num w:numId="64">
    <w:abstractNumId w:val="70"/>
    <w:lvlOverride w:ilvl="0"/>
    <w:lvlOverride w:ilvl="1"/>
    <w:lvlOverride w:ilvl="2"/>
    <w:lvlOverride w:ilvl="3"/>
    <w:lvlOverride w:ilvl="4"/>
    <w:lvlOverride w:ilvl="5"/>
    <w:lvlOverride w:ilvl="6"/>
    <w:lvlOverride w:ilvl="7"/>
    <w:lvlOverride w:ilvl="8"/>
  </w:num>
  <w:num w:numId="65">
    <w:abstractNumId w:val="60"/>
    <w:lvlOverride w:ilvl="0"/>
    <w:lvlOverride w:ilvl="1"/>
    <w:lvlOverride w:ilvl="2"/>
    <w:lvlOverride w:ilvl="3"/>
    <w:lvlOverride w:ilvl="4"/>
    <w:lvlOverride w:ilvl="5"/>
    <w:lvlOverride w:ilvl="6"/>
    <w:lvlOverride w:ilvl="7"/>
    <w:lvlOverride w:ilvl="8"/>
  </w:num>
  <w:num w:numId="66">
    <w:abstractNumId w:val="45"/>
    <w:lvlOverride w:ilvl="0"/>
    <w:lvlOverride w:ilvl="1"/>
    <w:lvlOverride w:ilvl="2"/>
    <w:lvlOverride w:ilvl="3"/>
    <w:lvlOverride w:ilvl="4"/>
    <w:lvlOverride w:ilvl="5"/>
    <w:lvlOverride w:ilvl="6"/>
    <w:lvlOverride w:ilvl="7"/>
    <w:lvlOverride w:ilvl="8"/>
  </w:num>
  <w:num w:numId="67">
    <w:abstractNumId w:val="65"/>
    <w:lvlOverride w:ilvl="0"/>
    <w:lvlOverride w:ilvl="1"/>
    <w:lvlOverride w:ilvl="2"/>
    <w:lvlOverride w:ilvl="3"/>
    <w:lvlOverride w:ilvl="4"/>
    <w:lvlOverride w:ilvl="5"/>
    <w:lvlOverride w:ilvl="6"/>
    <w:lvlOverride w:ilvl="7"/>
    <w:lvlOverride w:ilvl="8"/>
  </w:num>
  <w:num w:numId="68">
    <w:abstractNumId w:val="74"/>
    <w:lvlOverride w:ilvl="0"/>
    <w:lvlOverride w:ilvl="1"/>
    <w:lvlOverride w:ilvl="2"/>
    <w:lvlOverride w:ilvl="3"/>
    <w:lvlOverride w:ilvl="4"/>
    <w:lvlOverride w:ilvl="5"/>
    <w:lvlOverride w:ilvl="6"/>
    <w:lvlOverride w:ilvl="7"/>
    <w:lvlOverride w:ilvl="8"/>
  </w:num>
  <w:num w:numId="69">
    <w:abstractNumId w:val="9"/>
    <w:lvlOverride w:ilvl="0"/>
    <w:lvlOverride w:ilvl="1"/>
    <w:lvlOverride w:ilvl="2"/>
    <w:lvlOverride w:ilvl="3"/>
    <w:lvlOverride w:ilvl="4"/>
    <w:lvlOverride w:ilvl="5"/>
    <w:lvlOverride w:ilvl="6"/>
    <w:lvlOverride w:ilvl="7"/>
    <w:lvlOverride w:ilvl="8"/>
  </w:num>
  <w:num w:numId="70">
    <w:abstractNumId w:val="55"/>
    <w:lvlOverride w:ilvl="0"/>
    <w:lvlOverride w:ilvl="1"/>
    <w:lvlOverride w:ilvl="2"/>
    <w:lvlOverride w:ilvl="3"/>
    <w:lvlOverride w:ilvl="4"/>
    <w:lvlOverride w:ilvl="5"/>
    <w:lvlOverride w:ilvl="6"/>
    <w:lvlOverride w:ilvl="7"/>
    <w:lvlOverride w:ilvl="8"/>
  </w:num>
  <w:num w:numId="71">
    <w:abstractNumId w:val="35"/>
    <w:lvlOverride w:ilvl="0"/>
    <w:lvlOverride w:ilvl="1"/>
    <w:lvlOverride w:ilvl="2"/>
    <w:lvlOverride w:ilvl="3"/>
    <w:lvlOverride w:ilvl="4"/>
    <w:lvlOverride w:ilvl="5"/>
    <w:lvlOverride w:ilvl="6"/>
    <w:lvlOverride w:ilvl="7"/>
    <w:lvlOverride w:ilvl="8"/>
  </w:num>
  <w:num w:numId="72">
    <w:abstractNumId w:val="43"/>
    <w:lvlOverride w:ilvl="0"/>
    <w:lvlOverride w:ilvl="1"/>
    <w:lvlOverride w:ilvl="2"/>
    <w:lvlOverride w:ilvl="3"/>
    <w:lvlOverride w:ilvl="4"/>
    <w:lvlOverride w:ilvl="5"/>
    <w:lvlOverride w:ilvl="6"/>
    <w:lvlOverride w:ilvl="7"/>
    <w:lvlOverride w:ilvl="8"/>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5D"/>
    <w:rsid w:val="002F4895"/>
    <w:rsid w:val="005C48E0"/>
    <w:rsid w:val="00B2445D"/>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5D"/>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B2445D"/>
    <w:pPr>
      <w:keepNext/>
      <w:outlineLvl w:val="0"/>
    </w:pPr>
    <w:rPr>
      <w:color w:val="000000"/>
      <w:szCs w:val="20"/>
    </w:rPr>
  </w:style>
  <w:style w:type="paragraph" w:styleId="Heading3">
    <w:name w:val="heading 3"/>
    <w:basedOn w:val="Normal"/>
    <w:next w:val="Normal"/>
    <w:link w:val="Heading3Char"/>
    <w:uiPriority w:val="9"/>
    <w:unhideWhenUsed/>
    <w:qFormat/>
    <w:rsid w:val="00B2445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45D"/>
    <w:rPr>
      <w:rFonts w:ascii="Times New Roman" w:eastAsia="Times New Roman" w:hAnsi="Times New Roman" w:cs="Times New Roman"/>
      <w:color w:val="000000"/>
      <w:sz w:val="24"/>
      <w:szCs w:val="20"/>
      <w:lang w:val="pt-BR" w:eastAsia="pt-BR"/>
    </w:rPr>
  </w:style>
  <w:style w:type="character" w:customStyle="1" w:styleId="Heading3Char">
    <w:name w:val="Heading 3 Char"/>
    <w:basedOn w:val="DefaultParagraphFont"/>
    <w:link w:val="Heading3"/>
    <w:uiPriority w:val="9"/>
    <w:rsid w:val="00B2445D"/>
    <w:rPr>
      <w:rFonts w:ascii="Cambria" w:eastAsia="Times New Roman" w:hAnsi="Cambria" w:cs="Times New Roman"/>
      <w:b/>
      <w:bCs/>
      <w:sz w:val="26"/>
      <w:szCs w:val="26"/>
      <w:lang w:val="x-none" w:eastAsia="x-none"/>
    </w:rPr>
  </w:style>
  <w:style w:type="character" w:styleId="Hyperlink">
    <w:name w:val="Hyperlink"/>
    <w:uiPriority w:val="99"/>
    <w:semiHidden/>
    <w:unhideWhenUsed/>
    <w:rsid w:val="00B2445D"/>
    <w:rPr>
      <w:color w:val="0000FF"/>
      <w:u w:val="single"/>
    </w:rPr>
  </w:style>
  <w:style w:type="character" w:styleId="FollowedHyperlink">
    <w:name w:val="FollowedHyperlink"/>
    <w:basedOn w:val="DefaultParagraphFont"/>
    <w:uiPriority w:val="99"/>
    <w:semiHidden/>
    <w:unhideWhenUsed/>
    <w:rsid w:val="00B2445D"/>
    <w:rPr>
      <w:color w:val="800080" w:themeColor="followedHyperlink"/>
      <w:u w:val="single"/>
    </w:rPr>
  </w:style>
  <w:style w:type="paragraph" w:styleId="NormalWeb">
    <w:name w:val="Normal (Web)"/>
    <w:basedOn w:val="Normal"/>
    <w:unhideWhenUsed/>
    <w:rsid w:val="00B2445D"/>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link w:val="HeaderChar"/>
    <w:unhideWhenUsed/>
    <w:rsid w:val="00B2445D"/>
    <w:pPr>
      <w:tabs>
        <w:tab w:val="center" w:pos="4419"/>
        <w:tab w:val="right" w:pos="8838"/>
      </w:tabs>
    </w:pPr>
    <w:rPr>
      <w:sz w:val="20"/>
      <w:szCs w:val="20"/>
    </w:rPr>
  </w:style>
  <w:style w:type="character" w:customStyle="1" w:styleId="HeaderChar">
    <w:name w:val="Header Char"/>
    <w:basedOn w:val="DefaultParagraphFont"/>
    <w:link w:val="Header"/>
    <w:rsid w:val="00B2445D"/>
    <w:rPr>
      <w:rFonts w:ascii="Times New Roman" w:eastAsia="Times New Roman" w:hAnsi="Times New Roman" w:cs="Times New Roman"/>
      <w:sz w:val="20"/>
      <w:szCs w:val="20"/>
      <w:lang w:val="pt-BR" w:eastAsia="pt-BR"/>
    </w:rPr>
  </w:style>
  <w:style w:type="paragraph" w:styleId="Footer">
    <w:name w:val="footer"/>
    <w:basedOn w:val="Normal"/>
    <w:link w:val="FooterChar"/>
    <w:unhideWhenUsed/>
    <w:rsid w:val="00B2445D"/>
    <w:pPr>
      <w:tabs>
        <w:tab w:val="center" w:pos="4419"/>
        <w:tab w:val="right" w:pos="8838"/>
      </w:tabs>
    </w:pPr>
  </w:style>
  <w:style w:type="character" w:customStyle="1" w:styleId="FooterChar">
    <w:name w:val="Footer Char"/>
    <w:basedOn w:val="DefaultParagraphFont"/>
    <w:link w:val="Footer"/>
    <w:rsid w:val="00B2445D"/>
    <w:rPr>
      <w:rFonts w:ascii="Times New Roman" w:eastAsia="Times New Roman" w:hAnsi="Times New Roman" w:cs="Times New Roman"/>
      <w:sz w:val="24"/>
      <w:szCs w:val="24"/>
      <w:lang w:val="pt-BR" w:eastAsia="pt-BR"/>
    </w:rPr>
  </w:style>
  <w:style w:type="paragraph" w:styleId="EndnoteText">
    <w:name w:val="endnote text"/>
    <w:basedOn w:val="Normal"/>
    <w:link w:val="EndnoteTextChar"/>
    <w:uiPriority w:val="99"/>
    <w:unhideWhenUsed/>
    <w:rsid w:val="00B2445D"/>
    <w:rPr>
      <w:sz w:val="20"/>
      <w:szCs w:val="20"/>
    </w:rPr>
  </w:style>
  <w:style w:type="character" w:customStyle="1" w:styleId="EndnoteTextChar">
    <w:name w:val="Endnote Text Char"/>
    <w:basedOn w:val="DefaultParagraphFont"/>
    <w:link w:val="EndnoteText"/>
    <w:uiPriority w:val="99"/>
    <w:rsid w:val="00B2445D"/>
    <w:rPr>
      <w:rFonts w:ascii="Times New Roman" w:eastAsia="Times New Roman" w:hAnsi="Times New Roman" w:cs="Times New Roman"/>
      <w:sz w:val="20"/>
      <w:szCs w:val="20"/>
      <w:lang w:val="pt-BR" w:eastAsia="pt-BR"/>
    </w:rPr>
  </w:style>
  <w:style w:type="paragraph" w:styleId="Title">
    <w:name w:val="Title"/>
    <w:basedOn w:val="Normal"/>
    <w:link w:val="TitleChar"/>
    <w:uiPriority w:val="10"/>
    <w:qFormat/>
    <w:rsid w:val="00B2445D"/>
    <w:pPr>
      <w:jc w:val="center"/>
    </w:pPr>
    <w:rPr>
      <w:b/>
      <w:bCs/>
    </w:rPr>
  </w:style>
  <w:style w:type="character" w:customStyle="1" w:styleId="TitleChar">
    <w:name w:val="Title Char"/>
    <w:basedOn w:val="DefaultParagraphFont"/>
    <w:link w:val="Title"/>
    <w:uiPriority w:val="10"/>
    <w:rsid w:val="00B2445D"/>
    <w:rPr>
      <w:rFonts w:ascii="Times New Roman" w:eastAsia="Times New Roman" w:hAnsi="Times New Roman" w:cs="Times New Roman"/>
      <w:b/>
      <w:bCs/>
      <w:sz w:val="24"/>
      <w:szCs w:val="24"/>
      <w:lang w:val="pt-BR" w:eastAsia="pt-BR"/>
    </w:rPr>
  </w:style>
  <w:style w:type="paragraph" w:styleId="BodyTextIndent">
    <w:name w:val="Body Text Indent"/>
    <w:basedOn w:val="Normal"/>
    <w:link w:val="BodyTextIndentChar"/>
    <w:semiHidden/>
    <w:unhideWhenUsed/>
    <w:rsid w:val="00B2445D"/>
    <w:pPr>
      <w:tabs>
        <w:tab w:val="left" w:leader="dot" w:pos="5103"/>
      </w:tabs>
      <w:ind w:left="567"/>
      <w:jc w:val="both"/>
    </w:pPr>
  </w:style>
  <w:style w:type="character" w:customStyle="1" w:styleId="BodyTextIndentChar">
    <w:name w:val="Body Text Indent Char"/>
    <w:basedOn w:val="DefaultParagraphFont"/>
    <w:link w:val="BodyTextIndent"/>
    <w:semiHidden/>
    <w:rsid w:val="00B2445D"/>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B2445D"/>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B2445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semiHidden/>
    <w:unhideWhenUsed/>
    <w:rsid w:val="00B2445D"/>
    <w:pPr>
      <w:ind w:firstLine="567"/>
      <w:jc w:val="both"/>
    </w:pPr>
  </w:style>
  <w:style w:type="character" w:customStyle="1" w:styleId="BodyTextIndent2Char">
    <w:name w:val="Body Text Indent 2 Char"/>
    <w:basedOn w:val="DefaultParagraphFont"/>
    <w:link w:val="BodyTextIndent2"/>
    <w:semiHidden/>
    <w:rsid w:val="00B2445D"/>
    <w:rPr>
      <w:rFonts w:ascii="Times New Roman" w:eastAsia="Times New Roman" w:hAnsi="Times New Roman" w:cs="Times New Roman"/>
      <w:sz w:val="24"/>
      <w:szCs w:val="24"/>
      <w:lang w:val="pt-BR" w:eastAsia="pt-BR"/>
    </w:rPr>
  </w:style>
  <w:style w:type="paragraph" w:customStyle="1" w:styleId="SDMTtulo3">
    <w:name w:val="SDM Título 3"/>
    <w:basedOn w:val="Normal"/>
    <w:next w:val="Normal"/>
    <w:rsid w:val="00B2445D"/>
    <w:pPr>
      <w:jc w:val="both"/>
    </w:pPr>
    <w:rPr>
      <w:b/>
    </w:rPr>
  </w:style>
  <w:style w:type="paragraph" w:customStyle="1" w:styleId="SDMTtulo4">
    <w:name w:val="SDM Título 4"/>
    <w:basedOn w:val="Normal"/>
    <w:next w:val="Normal"/>
    <w:rsid w:val="00B2445D"/>
    <w:pPr>
      <w:jc w:val="both"/>
    </w:pPr>
    <w:rPr>
      <w:b/>
    </w:rPr>
  </w:style>
  <w:style w:type="paragraph" w:customStyle="1" w:styleId="SDMTtulo5">
    <w:name w:val="SDM Título 5"/>
    <w:basedOn w:val="Normal"/>
    <w:rsid w:val="00B2445D"/>
    <w:pPr>
      <w:jc w:val="both"/>
    </w:pPr>
    <w:rPr>
      <w:b/>
    </w:rPr>
  </w:style>
  <w:style w:type="paragraph" w:customStyle="1" w:styleId="SDMTtulo6">
    <w:name w:val="SDM Título 6"/>
    <w:basedOn w:val="Normal"/>
    <w:rsid w:val="00B2445D"/>
    <w:pPr>
      <w:jc w:val="both"/>
    </w:pPr>
    <w:rPr>
      <w:b/>
    </w:rPr>
  </w:style>
  <w:style w:type="paragraph" w:customStyle="1" w:styleId="PargrafodaLista1">
    <w:name w:val="Parágrafo da Lista1"/>
    <w:basedOn w:val="Normal"/>
    <w:uiPriority w:val="34"/>
    <w:qFormat/>
    <w:rsid w:val="00B2445D"/>
    <w:pPr>
      <w:ind w:left="708"/>
    </w:pPr>
  </w:style>
  <w:style w:type="paragraph" w:customStyle="1" w:styleId="SDM">
    <w:name w:val="SDM"/>
    <w:basedOn w:val="Normal"/>
    <w:rsid w:val="00B2445D"/>
    <w:pPr>
      <w:jc w:val="both"/>
    </w:pPr>
    <w:rPr>
      <w:bCs/>
    </w:rPr>
  </w:style>
  <w:style w:type="character" w:styleId="FootnoteReference">
    <w:name w:val="footnote reference"/>
    <w:semiHidden/>
    <w:unhideWhenUsed/>
    <w:rsid w:val="00B2445D"/>
    <w:rPr>
      <w:vertAlign w:val="superscript"/>
    </w:rPr>
  </w:style>
  <w:style w:type="character" w:styleId="EndnoteReference">
    <w:name w:val="endnote reference"/>
    <w:uiPriority w:val="99"/>
    <w:semiHidden/>
    <w:unhideWhenUsed/>
    <w:rsid w:val="00B2445D"/>
    <w:rPr>
      <w:vertAlign w:val="superscript"/>
    </w:rPr>
  </w:style>
  <w:style w:type="paragraph" w:styleId="BalloonText">
    <w:name w:val="Balloon Text"/>
    <w:basedOn w:val="Normal"/>
    <w:link w:val="BalloonTextChar"/>
    <w:uiPriority w:val="99"/>
    <w:semiHidden/>
    <w:unhideWhenUsed/>
    <w:rsid w:val="00B2445D"/>
    <w:rPr>
      <w:rFonts w:ascii="Tahoma" w:hAnsi="Tahoma" w:cs="Tahoma"/>
      <w:sz w:val="16"/>
      <w:szCs w:val="16"/>
    </w:rPr>
  </w:style>
  <w:style w:type="character" w:customStyle="1" w:styleId="BalloonTextChar">
    <w:name w:val="Balloon Text Char"/>
    <w:basedOn w:val="DefaultParagraphFont"/>
    <w:link w:val="BalloonText"/>
    <w:uiPriority w:val="99"/>
    <w:semiHidden/>
    <w:rsid w:val="00B2445D"/>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5D"/>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B2445D"/>
    <w:pPr>
      <w:keepNext/>
      <w:outlineLvl w:val="0"/>
    </w:pPr>
    <w:rPr>
      <w:color w:val="000000"/>
      <w:szCs w:val="20"/>
    </w:rPr>
  </w:style>
  <w:style w:type="paragraph" w:styleId="Heading3">
    <w:name w:val="heading 3"/>
    <w:basedOn w:val="Normal"/>
    <w:next w:val="Normal"/>
    <w:link w:val="Heading3Char"/>
    <w:uiPriority w:val="9"/>
    <w:unhideWhenUsed/>
    <w:qFormat/>
    <w:rsid w:val="00B2445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45D"/>
    <w:rPr>
      <w:rFonts w:ascii="Times New Roman" w:eastAsia="Times New Roman" w:hAnsi="Times New Roman" w:cs="Times New Roman"/>
      <w:color w:val="000000"/>
      <w:sz w:val="24"/>
      <w:szCs w:val="20"/>
      <w:lang w:val="pt-BR" w:eastAsia="pt-BR"/>
    </w:rPr>
  </w:style>
  <w:style w:type="character" w:customStyle="1" w:styleId="Heading3Char">
    <w:name w:val="Heading 3 Char"/>
    <w:basedOn w:val="DefaultParagraphFont"/>
    <w:link w:val="Heading3"/>
    <w:uiPriority w:val="9"/>
    <w:rsid w:val="00B2445D"/>
    <w:rPr>
      <w:rFonts w:ascii="Cambria" w:eastAsia="Times New Roman" w:hAnsi="Cambria" w:cs="Times New Roman"/>
      <w:b/>
      <w:bCs/>
      <w:sz w:val="26"/>
      <w:szCs w:val="26"/>
      <w:lang w:val="x-none" w:eastAsia="x-none"/>
    </w:rPr>
  </w:style>
  <w:style w:type="character" w:styleId="Hyperlink">
    <w:name w:val="Hyperlink"/>
    <w:uiPriority w:val="99"/>
    <w:semiHidden/>
    <w:unhideWhenUsed/>
    <w:rsid w:val="00B2445D"/>
    <w:rPr>
      <w:color w:val="0000FF"/>
      <w:u w:val="single"/>
    </w:rPr>
  </w:style>
  <w:style w:type="character" w:styleId="FollowedHyperlink">
    <w:name w:val="FollowedHyperlink"/>
    <w:basedOn w:val="DefaultParagraphFont"/>
    <w:uiPriority w:val="99"/>
    <w:semiHidden/>
    <w:unhideWhenUsed/>
    <w:rsid w:val="00B2445D"/>
    <w:rPr>
      <w:color w:val="800080" w:themeColor="followedHyperlink"/>
      <w:u w:val="single"/>
    </w:rPr>
  </w:style>
  <w:style w:type="paragraph" w:styleId="NormalWeb">
    <w:name w:val="Normal (Web)"/>
    <w:basedOn w:val="Normal"/>
    <w:unhideWhenUsed/>
    <w:rsid w:val="00B2445D"/>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link w:val="HeaderChar"/>
    <w:unhideWhenUsed/>
    <w:rsid w:val="00B2445D"/>
    <w:pPr>
      <w:tabs>
        <w:tab w:val="center" w:pos="4419"/>
        <w:tab w:val="right" w:pos="8838"/>
      </w:tabs>
    </w:pPr>
    <w:rPr>
      <w:sz w:val="20"/>
      <w:szCs w:val="20"/>
    </w:rPr>
  </w:style>
  <w:style w:type="character" w:customStyle="1" w:styleId="HeaderChar">
    <w:name w:val="Header Char"/>
    <w:basedOn w:val="DefaultParagraphFont"/>
    <w:link w:val="Header"/>
    <w:rsid w:val="00B2445D"/>
    <w:rPr>
      <w:rFonts w:ascii="Times New Roman" w:eastAsia="Times New Roman" w:hAnsi="Times New Roman" w:cs="Times New Roman"/>
      <w:sz w:val="20"/>
      <w:szCs w:val="20"/>
      <w:lang w:val="pt-BR" w:eastAsia="pt-BR"/>
    </w:rPr>
  </w:style>
  <w:style w:type="paragraph" w:styleId="Footer">
    <w:name w:val="footer"/>
    <w:basedOn w:val="Normal"/>
    <w:link w:val="FooterChar"/>
    <w:unhideWhenUsed/>
    <w:rsid w:val="00B2445D"/>
    <w:pPr>
      <w:tabs>
        <w:tab w:val="center" w:pos="4419"/>
        <w:tab w:val="right" w:pos="8838"/>
      </w:tabs>
    </w:pPr>
  </w:style>
  <w:style w:type="character" w:customStyle="1" w:styleId="FooterChar">
    <w:name w:val="Footer Char"/>
    <w:basedOn w:val="DefaultParagraphFont"/>
    <w:link w:val="Footer"/>
    <w:rsid w:val="00B2445D"/>
    <w:rPr>
      <w:rFonts w:ascii="Times New Roman" w:eastAsia="Times New Roman" w:hAnsi="Times New Roman" w:cs="Times New Roman"/>
      <w:sz w:val="24"/>
      <w:szCs w:val="24"/>
      <w:lang w:val="pt-BR" w:eastAsia="pt-BR"/>
    </w:rPr>
  </w:style>
  <w:style w:type="paragraph" w:styleId="EndnoteText">
    <w:name w:val="endnote text"/>
    <w:basedOn w:val="Normal"/>
    <w:link w:val="EndnoteTextChar"/>
    <w:uiPriority w:val="99"/>
    <w:unhideWhenUsed/>
    <w:rsid w:val="00B2445D"/>
    <w:rPr>
      <w:sz w:val="20"/>
      <w:szCs w:val="20"/>
    </w:rPr>
  </w:style>
  <w:style w:type="character" w:customStyle="1" w:styleId="EndnoteTextChar">
    <w:name w:val="Endnote Text Char"/>
    <w:basedOn w:val="DefaultParagraphFont"/>
    <w:link w:val="EndnoteText"/>
    <w:uiPriority w:val="99"/>
    <w:rsid w:val="00B2445D"/>
    <w:rPr>
      <w:rFonts w:ascii="Times New Roman" w:eastAsia="Times New Roman" w:hAnsi="Times New Roman" w:cs="Times New Roman"/>
      <w:sz w:val="20"/>
      <w:szCs w:val="20"/>
      <w:lang w:val="pt-BR" w:eastAsia="pt-BR"/>
    </w:rPr>
  </w:style>
  <w:style w:type="paragraph" w:styleId="Title">
    <w:name w:val="Title"/>
    <w:basedOn w:val="Normal"/>
    <w:link w:val="TitleChar"/>
    <w:uiPriority w:val="10"/>
    <w:qFormat/>
    <w:rsid w:val="00B2445D"/>
    <w:pPr>
      <w:jc w:val="center"/>
    </w:pPr>
    <w:rPr>
      <w:b/>
      <w:bCs/>
    </w:rPr>
  </w:style>
  <w:style w:type="character" w:customStyle="1" w:styleId="TitleChar">
    <w:name w:val="Title Char"/>
    <w:basedOn w:val="DefaultParagraphFont"/>
    <w:link w:val="Title"/>
    <w:uiPriority w:val="10"/>
    <w:rsid w:val="00B2445D"/>
    <w:rPr>
      <w:rFonts w:ascii="Times New Roman" w:eastAsia="Times New Roman" w:hAnsi="Times New Roman" w:cs="Times New Roman"/>
      <w:b/>
      <w:bCs/>
      <w:sz w:val="24"/>
      <w:szCs w:val="24"/>
      <w:lang w:val="pt-BR" w:eastAsia="pt-BR"/>
    </w:rPr>
  </w:style>
  <w:style w:type="paragraph" w:styleId="BodyTextIndent">
    <w:name w:val="Body Text Indent"/>
    <w:basedOn w:val="Normal"/>
    <w:link w:val="BodyTextIndentChar"/>
    <w:semiHidden/>
    <w:unhideWhenUsed/>
    <w:rsid w:val="00B2445D"/>
    <w:pPr>
      <w:tabs>
        <w:tab w:val="left" w:leader="dot" w:pos="5103"/>
      </w:tabs>
      <w:ind w:left="567"/>
      <w:jc w:val="both"/>
    </w:pPr>
  </w:style>
  <w:style w:type="character" w:customStyle="1" w:styleId="BodyTextIndentChar">
    <w:name w:val="Body Text Indent Char"/>
    <w:basedOn w:val="DefaultParagraphFont"/>
    <w:link w:val="BodyTextIndent"/>
    <w:semiHidden/>
    <w:rsid w:val="00B2445D"/>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B2445D"/>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B2445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semiHidden/>
    <w:unhideWhenUsed/>
    <w:rsid w:val="00B2445D"/>
    <w:pPr>
      <w:ind w:firstLine="567"/>
      <w:jc w:val="both"/>
    </w:pPr>
  </w:style>
  <w:style w:type="character" w:customStyle="1" w:styleId="BodyTextIndent2Char">
    <w:name w:val="Body Text Indent 2 Char"/>
    <w:basedOn w:val="DefaultParagraphFont"/>
    <w:link w:val="BodyTextIndent2"/>
    <w:semiHidden/>
    <w:rsid w:val="00B2445D"/>
    <w:rPr>
      <w:rFonts w:ascii="Times New Roman" w:eastAsia="Times New Roman" w:hAnsi="Times New Roman" w:cs="Times New Roman"/>
      <w:sz w:val="24"/>
      <w:szCs w:val="24"/>
      <w:lang w:val="pt-BR" w:eastAsia="pt-BR"/>
    </w:rPr>
  </w:style>
  <w:style w:type="paragraph" w:customStyle="1" w:styleId="SDMTtulo3">
    <w:name w:val="SDM Título 3"/>
    <w:basedOn w:val="Normal"/>
    <w:next w:val="Normal"/>
    <w:rsid w:val="00B2445D"/>
    <w:pPr>
      <w:jc w:val="both"/>
    </w:pPr>
    <w:rPr>
      <w:b/>
    </w:rPr>
  </w:style>
  <w:style w:type="paragraph" w:customStyle="1" w:styleId="SDMTtulo4">
    <w:name w:val="SDM Título 4"/>
    <w:basedOn w:val="Normal"/>
    <w:next w:val="Normal"/>
    <w:rsid w:val="00B2445D"/>
    <w:pPr>
      <w:jc w:val="both"/>
    </w:pPr>
    <w:rPr>
      <w:b/>
    </w:rPr>
  </w:style>
  <w:style w:type="paragraph" w:customStyle="1" w:styleId="SDMTtulo5">
    <w:name w:val="SDM Título 5"/>
    <w:basedOn w:val="Normal"/>
    <w:rsid w:val="00B2445D"/>
    <w:pPr>
      <w:jc w:val="both"/>
    </w:pPr>
    <w:rPr>
      <w:b/>
    </w:rPr>
  </w:style>
  <w:style w:type="paragraph" w:customStyle="1" w:styleId="SDMTtulo6">
    <w:name w:val="SDM Título 6"/>
    <w:basedOn w:val="Normal"/>
    <w:rsid w:val="00B2445D"/>
    <w:pPr>
      <w:jc w:val="both"/>
    </w:pPr>
    <w:rPr>
      <w:b/>
    </w:rPr>
  </w:style>
  <w:style w:type="paragraph" w:customStyle="1" w:styleId="PargrafodaLista1">
    <w:name w:val="Parágrafo da Lista1"/>
    <w:basedOn w:val="Normal"/>
    <w:uiPriority w:val="34"/>
    <w:qFormat/>
    <w:rsid w:val="00B2445D"/>
    <w:pPr>
      <w:ind w:left="708"/>
    </w:pPr>
  </w:style>
  <w:style w:type="paragraph" w:customStyle="1" w:styleId="SDM">
    <w:name w:val="SDM"/>
    <w:basedOn w:val="Normal"/>
    <w:rsid w:val="00B2445D"/>
    <w:pPr>
      <w:jc w:val="both"/>
    </w:pPr>
    <w:rPr>
      <w:bCs/>
    </w:rPr>
  </w:style>
  <w:style w:type="character" w:styleId="FootnoteReference">
    <w:name w:val="footnote reference"/>
    <w:semiHidden/>
    <w:unhideWhenUsed/>
    <w:rsid w:val="00B2445D"/>
    <w:rPr>
      <w:vertAlign w:val="superscript"/>
    </w:rPr>
  </w:style>
  <w:style w:type="character" w:styleId="EndnoteReference">
    <w:name w:val="endnote reference"/>
    <w:uiPriority w:val="99"/>
    <w:semiHidden/>
    <w:unhideWhenUsed/>
    <w:rsid w:val="00B2445D"/>
    <w:rPr>
      <w:vertAlign w:val="superscript"/>
    </w:rPr>
  </w:style>
  <w:style w:type="paragraph" w:styleId="BalloonText">
    <w:name w:val="Balloon Text"/>
    <w:basedOn w:val="Normal"/>
    <w:link w:val="BalloonTextChar"/>
    <w:uiPriority w:val="99"/>
    <w:semiHidden/>
    <w:unhideWhenUsed/>
    <w:rsid w:val="00B2445D"/>
    <w:rPr>
      <w:rFonts w:ascii="Tahoma" w:hAnsi="Tahoma" w:cs="Tahoma"/>
      <w:sz w:val="16"/>
      <w:szCs w:val="16"/>
    </w:rPr>
  </w:style>
  <w:style w:type="character" w:customStyle="1" w:styleId="BalloonTextChar">
    <w:name w:val="Balloon Text Char"/>
    <w:basedOn w:val="DefaultParagraphFont"/>
    <w:link w:val="BalloonText"/>
    <w:uiPriority w:val="99"/>
    <w:semiHidden/>
    <w:rsid w:val="00B2445D"/>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5504">
      <w:bodyDiv w:val="1"/>
      <w:marLeft w:val="0"/>
      <w:marRight w:val="0"/>
      <w:marTop w:val="0"/>
      <w:marBottom w:val="0"/>
      <w:divBdr>
        <w:top w:val="none" w:sz="0" w:space="0" w:color="auto"/>
        <w:left w:val="none" w:sz="0" w:space="0" w:color="auto"/>
        <w:bottom w:val="none" w:sz="0" w:space="0" w:color="auto"/>
        <w:right w:val="none" w:sz="0" w:space="0" w:color="auto"/>
      </w:divBdr>
    </w:div>
    <w:div w:id="1373117083">
      <w:bodyDiv w:val="1"/>
      <w:marLeft w:val="0"/>
      <w:marRight w:val="0"/>
      <w:marTop w:val="0"/>
      <w:marBottom w:val="0"/>
      <w:divBdr>
        <w:top w:val="none" w:sz="0" w:space="0" w:color="auto"/>
        <w:left w:val="none" w:sz="0" w:space="0" w:color="auto"/>
        <w:bottom w:val="none" w:sz="0" w:space="0" w:color="auto"/>
        <w:right w:val="none" w:sz="0" w:space="0" w:color="auto"/>
      </w:divBdr>
    </w:div>
    <w:div w:id="19062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m.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36452</Words>
  <Characters>207777</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243742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2014-06-09T13:17:00Z</dcterms:created>
  <dcterms:modified xsi:type="dcterms:W3CDTF">2014-06-09T13:17:00Z</dcterms:modified>
</cp:coreProperties>
</file>